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lang w:eastAsia="zh-CN"/>
        </w:rPr>
      </w:pPr>
      <w:bookmarkStart w:id="0" w:name="_Toc24724705"/>
      <w:r>
        <w:rPr>
          <w:rFonts w:hint="eastAsia" w:ascii="方正小标宋_GBK" w:hAnsi="方正小标宋_GBK" w:eastAsia="方正小标宋_GBK"/>
          <w:b w:val="0"/>
          <w:bCs w:val="0"/>
          <w:sz w:val="30"/>
          <w:lang w:eastAsia="zh-CN"/>
        </w:rPr>
        <w:t>通化县</w:t>
      </w:r>
      <w:r>
        <w:rPr>
          <w:rFonts w:hint="eastAsia" w:ascii="方正小标宋_GBK" w:hAnsi="方正小标宋_GBK" w:eastAsia="方正小标宋_GBK"/>
          <w:b w:val="0"/>
          <w:bCs w:val="0"/>
          <w:sz w:val="30"/>
        </w:rPr>
        <w:t>公共资源交易领域基层政务公开标准目录</w:t>
      </w:r>
      <w:bookmarkEnd w:id="0"/>
      <w:bookmarkStart w:id="1" w:name="_GoBack"/>
      <w:bookmarkEnd w:id="1"/>
    </w:p>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shd w:val="clear" w:color="auto" w:fill="auto"/>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shd w:val="clear" w:color="auto" w:fill="auto"/>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shd w:val="clear" w:color="auto" w:fill="auto"/>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shd w:val="clear" w:color="auto" w:fill="auto"/>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shd w:val="clear" w:color="auto" w:fill="auto"/>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shd w:val="clear" w:color="auto" w:fill="auto"/>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widowControl/>
              <w:jc w:val="left"/>
              <w:rPr>
                <w:rFonts w:hint="eastAsia" w:ascii="仿宋_GB2312" w:hAnsi="Times New Roman" w:eastAsia="仿宋_GB2312"/>
                <w:color w:val="000000"/>
                <w:kern w:val="0"/>
                <w:sz w:val="18"/>
                <w:szCs w:val="18"/>
              </w:rPr>
            </w:pPr>
          </w:p>
        </w:tc>
        <w:tc>
          <w:tcPr>
            <w:tcW w:w="900" w:type="dxa"/>
            <w:shd w:val="clear" w:color="auto" w:fill="auto"/>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一级事项</w:t>
            </w:r>
          </w:p>
        </w:tc>
        <w:tc>
          <w:tcPr>
            <w:tcW w:w="776" w:type="dxa"/>
            <w:shd w:val="clear" w:color="auto" w:fill="auto"/>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shd w:val="clear" w:color="auto" w:fill="auto"/>
            <w:noWrap w:val="0"/>
            <w:vAlign w:val="center"/>
          </w:tcPr>
          <w:p>
            <w:pPr>
              <w:widowControl/>
              <w:jc w:val="left"/>
              <w:rPr>
                <w:rFonts w:hint="eastAsia" w:ascii="黑体" w:hAnsi="宋体" w:eastAsia="黑体" w:cs="宋体"/>
                <w:kern w:val="0"/>
                <w:sz w:val="22"/>
              </w:rPr>
            </w:pPr>
          </w:p>
        </w:tc>
        <w:tc>
          <w:tcPr>
            <w:tcW w:w="2340" w:type="dxa"/>
            <w:vMerge w:val="continue"/>
            <w:shd w:val="clear" w:color="auto" w:fill="auto"/>
            <w:noWrap w:val="0"/>
            <w:vAlign w:val="center"/>
          </w:tcPr>
          <w:p>
            <w:pPr>
              <w:widowControl/>
              <w:jc w:val="left"/>
              <w:rPr>
                <w:rFonts w:hint="eastAsia" w:ascii="黑体" w:hAnsi="宋体" w:eastAsia="黑体" w:cs="宋体"/>
                <w:kern w:val="0"/>
                <w:sz w:val="22"/>
              </w:rPr>
            </w:pPr>
          </w:p>
        </w:tc>
        <w:tc>
          <w:tcPr>
            <w:tcW w:w="1620" w:type="dxa"/>
            <w:vMerge w:val="continue"/>
            <w:shd w:val="clear" w:color="auto" w:fill="auto"/>
            <w:noWrap w:val="0"/>
            <w:vAlign w:val="center"/>
          </w:tcPr>
          <w:p>
            <w:pPr>
              <w:widowControl/>
              <w:jc w:val="left"/>
              <w:rPr>
                <w:rFonts w:hint="eastAsia" w:ascii="黑体" w:hAnsi="宋体" w:eastAsia="黑体" w:cs="宋体"/>
                <w:kern w:val="0"/>
                <w:sz w:val="22"/>
              </w:rPr>
            </w:pPr>
          </w:p>
        </w:tc>
        <w:tc>
          <w:tcPr>
            <w:tcW w:w="956" w:type="dxa"/>
            <w:vMerge w:val="continue"/>
            <w:shd w:val="clear" w:color="auto" w:fill="auto"/>
            <w:noWrap w:val="0"/>
            <w:vAlign w:val="center"/>
          </w:tcPr>
          <w:p>
            <w:pPr>
              <w:widowControl/>
              <w:jc w:val="left"/>
              <w:rPr>
                <w:rFonts w:ascii="黑体" w:hAnsi="宋体" w:eastAsia="黑体" w:cs="宋体"/>
                <w:kern w:val="0"/>
                <w:sz w:val="22"/>
              </w:rPr>
            </w:pPr>
          </w:p>
        </w:tc>
        <w:tc>
          <w:tcPr>
            <w:tcW w:w="1856" w:type="dxa"/>
            <w:vMerge w:val="continue"/>
            <w:shd w:val="clear" w:color="auto" w:fill="auto"/>
            <w:noWrap w:val="0"/>
            <w:vAlign w:val="center"/>
          </w:tcPr>
          <w:p>
            <w:pPr>
              <w:widowControl/>
              <w:jc w:val="left"/>
              <w:rPr>
                <w:rFonts w:ascii="黑体" w:hAnsi="宋体" w:eastAsia="黑体" w:cs="宋体"/>
                <w:kern w:val="0"/>
                <w:sz w:val="22"/>
              </w:rPr>
            </w:pPr>
          </w:p>
        </w:tc>
        <w:tc>
          <w:tcPr>
            <w:tcW w:w="720" w:type="dxa"/>
            <w:shd w:val="clear" w:color="auto" w:fill="auto"/>
            <w:noWrap w:val="0"/>
            <w:vAlign w:val="center"/>
          </w:tcPr>
          <w:p>
            <w:pPr>
              <w:widowControl/>
              <w:jc w:val="center"/>
              <w:rPr>
                <w:rFonts w:hint="eastAsia" w:ascii="黑体" w:hAnsi="宋体" w:eastAsia="黑体" w:cs="宋体"/>
                <w:color w:val="000000"/>
                <w:kern w:val="0"/>
                <w:sz w:val="22"/>
                <w:lang w:val="en-US" w:eastAsia="zh-CN"/>
              </w:rPr>
            </w:pPr>
            <w:r>
              <w:rPr>
                <w:rFonts w:hint="eastAsia" w:ascii="黑体" w:hAnsi="宋体" w:eastAsia="黑体" w:cs="宋体"/>
                <w:color w:val="000000"/>
                <w:kern w:val="0"/>
                <w:sz w:val="22"/>
              </w:rPr>
              <w:t>全社会</w:t>
            </w:r>
            <w:r>
              <w:rPr>
                <w:rFonts w:hint="eastAsia" w:ascii="黑体" w:hAnsi="宋体" w:eastAsia="黑体" w:cs="宋体"/>
                <w:color w:val="000000"/>
                <w:kern w:val="0"/>
                <w:sz w:val="22"/>
                <w:lang w:val="en-US" w:eastAsia="zh-CN"/>
              </w:rPr>
              <w:t>+</w:t>
            </w:r>
          </w:p>
        </w:tc>
        <w:tc>
          <w:tcPr>
            <w:tcW w:w="900" w:type="dxa"/>
            <w:shd w:val="clear" w:color="auto" w:fill="auto"/>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90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shd w:val="clear" w:color="auto" w:fill="auto"/>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shd w:val="clear" w:color="auto" w:fill="auto"/>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shd w:val="clear" w:color="auto" w:fill="auto"/>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shd w:val="clear" w:color="auto" w:fill="auto"/>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shd w:val="clear" w:color="auto" w:fill="auto"/>
            <w:noWrap w:val="0"/>
            <w:vAlign w:val="center"/>
          </w:tcPr>
          <w:p>
            <w:pPr>
              <w:rPr>
                <w:rFonts w:ascii="仿宋_GB2312" w:hAnsi="宋体" w:eastAsia="仿宋_GB2312"/>
                <w:sz w:val="18"/>
                <w:szCs w:val="18"/>
              </w:rPr>
            </w:pPr>
            <w:r>
              <w:rPr>
                <w:rFonts w:hint="eastAsia" w:ascii="仿宋_GB2312" w:hAnsi="宋体" w:eastAsia="仿宋_GB2312"/>
                <w:sz w:val="18"/>
                <w:szCs w:val="18"/>
              </w:rPr>
              <w:t>负责管理的部门分别公开</w:t>
            </w:r>
          </w:p>
        </w:tc>
        <w:tc>
          <w:tcPr>
            <w:tcW w:w="1856" w:type="dxa"/>
            <w:shd w:val="clear" w:color="auto" w:fill="auto"/>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rPr>
                <w:rFonts w:ascii="仿宋_GB2312" w:hAnsi="宋体" w:eastAsia="仿宋_GB2312"/>
                <w:sz w:val="18"/>
                <w:szCs w:val="18"/>
              </w:rPr>
            </w:pPr>
            <w:r>
              <w:rPr>
                <w:rFonts w:hint="eastAsia" w:ascii="仿宋_GB2312" w:hAnsi="宋体" w:eastAsia="仿宋_GB2312"/>
                <w:sz w:val="18"/>
                <w:szCs w:val="18"/>
              </w:rPr>
              <w:t>■管理部门网站</w:t>
            </w:r>
          </w:p>
        </w:tc>
        <w:tc>
          <w:tcPr>
            <w:tcW w:w="72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90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shd w:val="clear" w:color="auto" w:fill="auto"/>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shd w:val="clear" w:color="auto" w:fill="auto"/>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shd w:val="clear" w:color="auto" w:fill="auto"/>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shd w:val="clear" w:color="auto" w:fill="auto"/>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shd w:val="clear" w:color="auto" w:fill="auto"/>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shd w:val="clear" w:color="auto" w:fill="auto"/>
            <w:noWrap w:val="0"/>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■招标投标公共服务平台</w:t>
            </w:r>
          </w:p>
          <w:p>
            <w:pPr>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pPr>
              <w:rPr>
                <w:rFonts w:ascii="仿宋_GB2312" w:hAnsi="宋体" w:eastAsia="仿宋_GB2312"/>
                <w:sz w:val="18"/>
                <w:szCs w:val="18"/>
              </w:rPr>
            </w:pPr>
            <w:r>
              <w:rPr>
                <w:rFonts w:hint="eastAsia" w:ascii="仿宋_GB2312" w:hAnsi="宋体" w:eastAsia="仿宋_GB2312"/>
                <w:sz w:val="18"/>
                <w:szCs w:val="18"/>
              </w:rPr>
              <w:t>■电子招标投标交易平台</w:t>
            </w:r>
          </w:p>
        </w:tc>
        <w:tc>
          <w:tcPr>
            <w:tcW w:w="72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900" w:type="dxa"/>
            <w:vMerge w:val="restart"/>
            <w:shd w:val="clear" w:color="auto" w:fill="auto"/>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p>
            <w:pPr>
              <w:jc w:val="center"/>
              <w:rPr>
                <w:rFonts w:hint="eastAsia" w:ascii="仿宋_GB2312" w:hAnsi="宋体" w:eastAsia="仿宋_GB2312" w:cs="宋体"/>
                <w:sz w:val="18"/>
                <w:szCs w:val="18"/>
              </w:rPr>
            </w:pPr>
            <w:r>
              <w:rPr>
                <w:rFonts w:hint="eastAsia" w:ascii="仿宋_GB2312" w:hAnsi="宋体" w:eastAsia="仿宋_GB2312"/>
                <w:sz w:val="18"/>
                <w:szCs w:val="18"/>
              </w:rPr>
              <w:t>　</w:t>
            </w:r>
          </w:p>
        </w:tc>
        <w:tc>
          <w:tcPr>
            <w:tcW w:w="776" w:type="dxa"/>
            <w:shd w:val="clear" w:color="auto" w:fill="auto"/>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招标公告</w:t>
            </w:r>
          </w:p>
        </w:tc>
        <w:tc>
          <w:tcPr>
            <w:tcW w:w="3364" w:type="dxa"/>
            <w:shd w:val="clear" w:color="auto" w:fill="auto"/>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shd w:val="clear" w:color="auto" w:fill="auto"/>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shd w:val="clear" w:color="auto" w:fill="auto"/>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shd w:val="clear" w:color="auto" w:fill="auto"/>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shd w:val="clear" w:color="auto" w:fill="auto"/>
            <w:noWrap w:val="0"/>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■招标投标公共服务平台</w:t>
            </w:r>
          </w:p>
          <w:p>
            <w:pPr>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pPr>
              <w:rPr>
                <w:rFonts w:ascii="仿宋_GB2312" w:hAnsi="宋体" w:eastAsia="仿宋_GB2312"/>
                <w:sz w:val="18"/>
                <w:szCs w:val="18"/>
              </w:rPr>
            </w:pPr>
            <w:r>
              <w:rPr>
                <w:rFonts w:hint="eastAsia" w:ascii="仿宋_GB2312" w:hAnsi="宋体" w:eastAsia="仿宋_GB2312"/>
                <w:sz w:val="18"/>
                <w:szCs w:val="18"/>
              </w:rPr>
              <w:t>■电子招标投标交易平台</w:t>
            </w:r>
          </w:p>
        </w:tc>
        <w:tc>
          <w:tcPr>
            <w:tcW w:w="72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900" w:type="dxa"/>
            <w:vMerge w:val="continue"/>
            <w:shd w:val="clear" w:color="auto" w:fill="auto"/>
            <w:noWrap w:val="0"/>
            <w:vAlign w:val="center"/>
          </w:tcPr>
          <w:p>
            <w:pPr>
              <w:jc w:val="center"/>
              <w:rPr>
                <w:rFonts w:hint="eastAsia" w:ascii="仿宋_GB2312" w:hAnsi="宋体" w:eastAsia="仿宋_GB2312" w:cs="宋体"/>
                <w:sz w:val="18"/>
                <w:szCs w:val="18"/>
              </w:rPr>
            </w:pPr>
          </w:p>
        </w:tc>
        <w:tc>
          <w:tcPr>
            <w:tcW w:w="776" w:type="dxa"/>
            <w:shd w:val="clear" w:color="auto" w:fill="auto"/>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shd w:val="clear" w:color="auto" w:fill="auto"/>
            <w:noWrap w:val="0"/>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pPr>
              <w:rPr>
                <w:rFonts w:hint="eastAsia" w:ascii="仿宋_GB2312" w:hAnsi="宋体" w:eastAsia="仿宋_GB2312" w:cs="宋体"/>
                <w:sz w:val="18"/>
                <w:szCs w:val="18"/>
              </w:rPr>
            </w:pPr>
            <w:r>
              <w:rPr>
                <w:rFonts w:hint="eastAsia" w:ascii="仿宋_GB2312" w:hAnsi="宋体" w:eastAsia="仿宋_GB2312"/>
                <w:sz w:val="18"/>
                <w:szCs w:val="18"/>
              </w:rPr>
              <w:t>招标文件规定公示的其他内容。</w:t>
            </w:r>
          </w:p>
        </w:tc>
        <w:tc>
          <w:tcPr>
            <w:tcW w:w="2340" w:type="dxa"/>
            <w:vMerge w:val="continue"/>
            <w:shd w:val="clear" w:color="auto" w:fill="auto"/>
            <w:noWrap w:val="0"/>
            <w:vAlign w:val="center"/>
          </w:tcPr>
          <w:p>
            <w:pPr>
              <w:rPr>
                <w:rFonts w:hint="eastAsia" w:ascii="仿宋_GB2312" w:hAnsi="宋体" w:eastAsia="仿宋_GB2312"/>
                <w:sz w:val="18"/>
                <w:szCs w:val="18"/>
              </w:rPr>
            </w:pPr>
          </w:p>
        </w:tc>
        <w:tc>
          <w:tcPr>
            <w:tcW w:w="1620" w:type="dxa"/>
            <w:shd w:val="clear" w:color="auto" w:fill="auto"/>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shd w:val="clear" w:color="auto" w:fill="auto"/>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shd w:val="clear" w:color="auto" w:fill="auto"/>
            <w:noWrap w:val="0"/>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■招标投标公共服务平台</w:t>
            </w:r>
          </w:p>
          <w:p>
            <w:pPr>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pPr>
              <w:rPr>
                <w:rFonts w:ascii="仿宋_GB2312" w:hAnsi="宋体" w:eastAsia="仿宋_GB2312"/>
                <w:sz w:val="18"/>
                <w:szCs w:val="18"/>
              </w:rPr>
            </w:pPr>
            <w:r>
              <w:rPr>
                <w:rFonts w:hint="eastAsia" w:ascii="仿宋_GB2312" w:hAnsi="宋体" w:eastAsia="仿宋_GB2312"/>
                <w:sz w:val="18"/>
                <w:szCs w:val="18"/>
              </w:rPr>
              <w:t>■电子招标投标交易平台</w:t>
            </w:r>
          </w:p>
        </w:tc>
        <w:tc>
          <w:tcPr>
            <w:tcW w:w="72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5</w:t>
            </w:r>
          </w:p>
        </w:tc>
        <w:tc>
          <w:tcPr>
            <w:tcW w:w="900" w:type="dxa"/>
            <w:vMerge w:val="restart"/>
            <w:shd w:val="clear" w:color="auto" w:fill="auto"/>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工程建设项目招标投标信息　</w:t>
            </w:r>
          </w:p>
        </w:tc>
        <w:tc>
          <w:tcPr>
            <w:tcW w:w="776" w:type="dxa"/>
            <w:shd w:val="clear" w:color="auto" w:fill="auto"/>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中标结果</w:t>
            </w:r>
          </w:p>
        </w:tc>
        <w:tc>
          <w:tcPr>
            <w:tcW w:w="3364" w:type="dxa"/>
            <w:shd w:val="clear" w:color="auto" w:fill="auto"/>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shd w:val="clear" w:color="auto" w:fill="auto"/>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shd w:val="clear" w:color="auto" w:fill="auto"/>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shd w:val="clear" w:color="auto" w:fill="auto"/>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shd w:val="clear" w:color="auto" w:fill="auto"/>
            <w:noWrap w:val="0"/>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■招标投标公共服务平台</w:t>
            </w:r>
          </w:p>
          <w:p>
            <w:pPr>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pPr>
              <w:rPr>
                <w:rFonts w:ascii="仿宋_GB2312" w:hAnsi="宋体" w:eastAsia="仿宋_GB2312"/>
                <w:sz w:val="18"/>
                <w:szCs w:val="18"/>
              </w:rPr>
            </w:pPr>
            <w:r>
              <w:rPr>
                <w:rFonts w:hint="eastAsia" w:ascii="仿宋_GB2312" w:hAnsi="宋体" w:eastAsia="仿宋_GB2312"/>
                <w:sz w:val="18"/>
                <w:szCs w:val="18"/>
              </w:rPr>
              <w:t>■电子招标投标交易平台</w:t>
            </w:r>
          </w:p>
        </w:tc>
        <w:tc>
          <w:tcPr>
            <w:tcW w:w="72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900" w:type="dxa"/>
            <w:vMerge w:val="continue"/>
            <w:shd w:val="clear" w:color="auto" w:fill="auto"/>
            <w:noWrap w:val="0"/>
            <w:vAlign w:val="center"/>
          </w:tcPr>
          <w:p>
            <w:pPr>
              <w:jc w:val="center"/>
              <w:rPr>
                <w:rFonts w:hint="eastAsia" w:ascii="仿宋_GB2312" w:hAnsi="宋体" w:eastAsia="仿宋_GB2312"/>
                <w:sz w:val="18"/>
                <w:szCs w:val="18"/>
              </w:rPr>
            </w:pPr>
          </w:p>
        </w:tc>
        <w:tc>
          <w:tcPr>
            <w:tcW w:w="776" w:type="dxa"/>
            <w:shd w:val="clear" w:color="auto" w:fill="auto"/>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合同订立信息</w:t>
            </w:r>
          </w:p>
        </w:tc>
        <w:tc>
          <w:tcPr>
            <w:tcW w:w="3364" w:type="dxa"/>
            <w:shd w:val="clear" w:color="auto" w:fill="auto"/>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vMerge w:val="restart"/>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restart"/>
            <w:shd w:val="clear" w:color="auto" w:fill="auto"/>
            <w:noWrap w:val="0"/>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■招标投标公共服务平台</w:t>
            </w:r>
          </w:p>
          <w:p>
            <w:pPr>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pPr>
              <w:rPr>
                <w:rFonts w:ascii="仿宋_GB2312" w:hAnsi="宋体" w:eastAsia="仿宋_GB2312"/>
                <w:sz w:val="18"/>
                <w:szCs w:val="18"/>
              </w:rPr>
            </w:pPr>
            <w:r>
              <w:rPr>
                <w:rFonts w:hint="eastAsia" w:ascii="仿宋_GB2312" w:hAnsi="宋体" w:eastAsia="仿宋_GB2312"/>
                <w:sz w:val="18"/>
                <w:szCs w:val="18"/>
              </w:rPr>
              <w:t>■电子招标投标交易平台</w:t>
            </w:r>
          </w:p>
        </w:tc>
        <w:tc>
          <w:tcPr>
            <w:tcW w:w="72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900" w:type="dxa"/>
            <w:vMerge w:val="continue"/>
            <w:shd w:val="clear" w:color="auto" w:fill="auto"/>
            <w:noWrap w:val="0"/>
            <w:vAlign w:val="center"/>
          </w:tcPr>
          <w:p>
            <w:pPr>
              <w:jc w:val="center"/>
              <w:rPr>
                <w:rFonts w:hint="eastAsia" w:ascii="仿宋_GB2312" w:hAnsi="宋体" w:eastAsia="仿宋_GB2312" w:cs="宋体"/>
                <w:sz w:val="18"/>
                <w:szCs w:val="18"/>
              </w:rPr>
            </w:pPr>
          </w:p>
        </w:tc>
        <w:tc>
          <w:tcPr>
            <w:tcW w:w="776"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合同履行及变更信息</w:t>
            </w:r>
          </w:p>
        </w:tc>
        <w:tc>
          <w:tcPr>
            <w:tcW w:w="3364"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340" w:type="dxa"/>
            <w:vMerge w:val="continue"/>
            <w:shd w:val="clear" w:color="auto" w:fill="auto"/>
            <w:noWrap w:val="0"/>
            <w:vAlign w:val="center"/>
          </w:tcPr>
          <w:p>
            <w:pPr>
              <w:rPr>
                <w:rFonts w:hint="eastAsia" w:ascii="仿宋_GB2312" w:eastAsia="仿宋_GB2312"/>
                <w:sz w:val="18"/>
                <w:szCs w:val="18"/>
              </w:rPr>
            </w:pPr>
          </w:p>
        </w:tc>
        <w:tc>
          <w:tcPr>
            <w:tcW w:w="162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鼓励及时公开</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continue"/>
            <w:shd w:val="clear" w:color="auto" w:fill="auto"/>
            <w:noWrap w:val="0"/>
            <w:vAlign w:val="center"/>
          </w:tcPr>
          <w:p>
            <w:pPr>
              <w:rPr>
                <w:rFonts w:ascii="Wingdings 2" w:hAnsi="Wingdings 2" w:cs="宋体"/>
                <w:sz w:val="18"/>
                <w:szCs w:val="18"/>
              </w:rPr>
            </w:pPr>
          </w:p>
        </w:tc>
        <w:tc>
          <w:tcPr>
            <w:tcW w:w="720" w:type="dxa"/>
            <w:shd w:val="clear" w:color="auto" w:fill="auto"/>
            <w:noWrap w:val="0"/>
            <w:vAlign w:val="center"/>
          </w:tcPr>
          <w:p>
            <w:pPr>
              <w:jc w:val="center"/>
              <w:rPr>
                <w:rFonts w:ascii="宋体" w:hAnsi="宋体" w:cs="宋体"/>
                <w:sz w:val="18"/>
                <w:szCs w:val="18"/>
              </w:rPr>
            </w:pPr>
            <w:r>
              <w:rPr>
                <w:rFonts w:hint="eastAsia"/>
                <w:sz w:val="18"/>
                <w:szCs w:val="18"/>
              </w:rPr>
              <w:t>√</w:t>
            </w:r>
          </w:p>
        </w:tc>
        <w:tc>
          <w:tcPr>
            <w:tcW w:w="900" w:type="dxa"/>
            <w:shd w:val="clear" w:color="auto" w:fill="auto"/>
            <w:noWrap w:val="0"/>
            <w:vAlign w:val="center"/>
          </w:tcPr>
          <w:p>
            <w:pPr>
              <w:jc w:val="center"/>
              <w:rPr>
                <w:rFonts w:ascii="宋体" w:hAnsi="宋体" w:cs="宋体"/>
                <w:sz w:val="18"/>
                <w:szCs w:val="18"/>
              </w:rPr>
            </w:pPr>
            <w:r>
              <w:rPr>
                <w:rFonts w:hint="eastAsia"/>
                <w:sz w:val="18"/>
                <w:szCs w:val="18"/>
              </w:rPr>
              <w:t>　</w:t>
            </w:r>
          </w:p>
        </w:tc>
        <w:tc>
          <w:tcPr>
            <w:tcW w:w="788" w:type="dxa"/>
            <w:shd w:val="clear" w:color="auto" w:fill="auto"/>
            <w:noWrap w:val="0"/>
            <w:vAlign w:val="center"/>
          </w:tcPr>
          <w:p>
            <w:pPr>
              <w:jc w:val="center"/>
              <w:rPr>
                <w:rFonts w:ascii="宋体" w:hAnsi="宋体" w:cs="宋体"/>
                <w:sz w:val="18"/>
                <w:szCs w:val="18"/>
              </w:rPr>
            </w:pPr>
            <w:r>
              <w:rPr>
                <w:rFonts w:hint="eastAsia"/>
                <w:sz w:val="18"/>
                <w:szCs w:val="18"/>
              </w:rPr>
              <w:t>√</w:t>
            </w:r>
          </w:p>
        </w:tc>
        <w:tc>
          <w:tcPr>
            <w:tcW w:w="900" w:type="dxa"/>
            <w:shd w:val="clear" w:color="auto" w:fill="auto"/>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8</w:t>
            </w:r>
          </w:p>
        </w:tc>
        <w:tc>
          <w:tcPr>
            <w:tcW w:w="90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资格预审文件、招标文件澄清或修改</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招标投标公共服务平台</w:t>
            </w:r>
          </w:p>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公共资源交易平台</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9</w:t>
            </w:r>
          </w:p>
        </w:tc>
        <w:tc>
          <w:tcPr>
            <w:tcW w:w="90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restart"/>
            <w:shd w:val="clear" w:color="auto" w:fill="auto"/>
            <w:noWrap w:val="0"/>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■招标投标公共服务平台</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■电子招标投标交易平台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10</w:t>
            </w:r>
          </w:p>
        </w:tc>
        <w:tc>
          <w:tcPr>
            <w:tcW w:w="900" w:type="dxa"/>
            <w:vMerge w:val="continue"/>
            <w:shd w:val="clear" w:color="auto" w:fill="auto"/>
            <w:noWrap w:val="0"/>
            <w:vAlign w:val="center"/>
          </w:tcPr>
          <w:p>
            <w:pPr>
              <w:jc w:val="center"/>
              <w:rPr>
                <w:rFonts w:hint="eastAsia" w:ascii="仿宋_GB2312" w:eastAsia="仿宋_GB2312"/>
                <w:sz w:val="18"/>
                <w:szCs w:val="18"/>
              </w:rPr>
            </w:pP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暂停、终止招标</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continue"/>
            <w:shd w:val="clear" w:color="auto" w:fill="auto"/>
            <w:noWrap w:val="0"/>
            <w:vAlign w:val="center"/>
          </w:tcPr>
          <w:p>
            <w:pPr>
              <w:rPr>
                <w:rFonts w:ascii="仿宋_GB2312" w:eastAsia="仿宋_GB2312"/>
                <w:sz w:val="18"/>
                <w:szCs w:val="18"/>
              </w:rPr>
            </w:pP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11</w:t>
            </w:r>
          </w:p>
        </w:tc>
        <w:tc>
          <w:tcPr>
            <w:tcW w:w="900" w:type="dxa"/>
            <w:vMerge w:val="continue"/>
            <w:shd w:val="clear" w:color="auto" w:fill="auto"/>
            <w:noWrap w:val="0"/>
            <w:vAlign w:val="center"/>
          </w:tcPr>
          <w:p>
            <w:pPr>
              <w:jc w:val="center"/>
              <w:rPr>
                <w:rFonts w:hint="eastAsia" w:ascii="仿宋_GB2312" w:eastAsia="仿宋_GB2312"/>
                <w:sz w:val="18"/>
                <w:szCs w:val="18"/>
              </w:rPr>
            </w:pP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市场主体信用信息</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《行政处罚法》、《政府信息公开条例》、《国务院办公厅关于推进公共资源配置领域政府信息公开的意见》</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负责管理的部门分别公开</w:t>
            </w:r>
          </w:p>
        </w:tc>
        <w:tc>
          <w:tcPr>
            <w:tcW w:w="1856" w:type="dxa"/>
            <w:shd w:val="clear" w:color="auto" w:fill="auto"/>
            <w:noWrap w:val="0"/>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pPr>
              <w:spacing w:line="240" w:lineRule="exact"/>
              <w:rPr>
                <w:rFonts w:ascii="仿宋_GB2312" w:eastAsia="仿宋_GB2312"/>
                <w:sz w:val="18"/>
                <w:szCs w:val="18"/>
              </w:rPr>
            </w:pPr>
            <w:r>
              <w:rPr>
                <w:rFonts w:hint="eastAsia" w:ascii="仿宋_GB2312" w:hAnsi="宋体" w:eastAsia="仿宋_GB2312"/>
                <w:sz w:val="18"/>
                <w:szCs w:val="18"/>
              </w:rPr>
              <w:t>■信用中国</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12</w:t>
            </w:r>
          </w:p>
        </w:tc>
        <w:tc>
          <w:tcPr>
            <w:tcW w:w="90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招标公告</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shd w:val="clear" w:color="auto" w:fill="auto"/>
            <w:noWrap w:val="0"/>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shd w:val="clear" w:color="auto" w:fill="auto"/>
            <w:noWrap w:val="0"/>
            <w:vAlign w:val="center"/>
          </w:tcPr>
          <w:p>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p>
          <w:p>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p>
          <w:p>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《中国财经报》（《中国政府采购报》）</w:t>
            </w:r>
          </w:p>
          <w:p>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《中国政府采购杂志》</w:t>
            </w:r>
          </w:p>
          <w:p>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《中国财政杂志》</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13</w:t>
            </w:r>
          </w:p>
        </w:tc>
        <w:tc>
          <w:tcPr>
            <w:tcW w:w="900" w:type="dxa"/>
            <w:vMerge w:val="continue"/>
            <w:shd w:val="clear" w:color="auto" w:fill="auto"/>
            <w:noWrap w:val="0"/>
            <w:vAlign w:val="center"/>
          </w:tcPr>
          <w:p>
            <w:pPr>
              <w:jc w:val="center"/>
              <w:rPr>
                <w:rFonts w:hint="eastAsia" w:ascii="仿宋_GB2312" w:eastAsia="仿宋_GB2312"/>
                <w:sz w:val="18"/>
                <w:szCs w:val="18"/>
              </w:rPr>
            </w:pP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资格预审公告</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shd w:val="clear" w:color="auto" w:fill="auto"/>
            <w:noWrap w:val="0"/>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shd w:val="clear" w:color="auto" w:fill="auto"/>
            <w:noWrap w:val="0"/>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■《中国财政杂志》</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14</w:t>
            </w:r>
          </w:p>
        </w:tc>
        <w:tc>
          <w:tcPr>
            <w:tcW w:w="90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shd w:val="clear" w:color="auto" w:fill="auto"/>
            <w:noWrap w:val="0"/>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及时公开，公告期限为3个工作日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restart"/>
            <w:shd w:val="clear" w:color="auto" w:fill="auto"/>
            <w:noWrap w:val="0"/>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《中国财政杂志》</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15</w:t>
            </w:r>
          </w:p>
        </w:tc>
        <w:tc>
          <w:tcPr>
            <w:tcW w:w="900" w:type="dxa"/>
            <w:vMerge w:val="continue"/>
            <w:shd w:val="clear" w:color="auto" w:fill="auto"/>
            <w:noWrap w:val="0"/>
            <w:vAlign w:val="center"/>
          </w:tcPr>
          <w:p>
            <w:pPr>
              <w:jc w:val="center"/>
              <w:rPr>
                <w:rFonts w:hint="eastAsia" w:ascii="仿宋_GB2312" w:eastAsia="仿宋_GB2312"/>
                <w:sz w:val="18"/>
                <w:szCs w:val="18"/>
              </w:rPr>
            </w:pP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采购项目预算金额</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随采购公告、采购文件公开</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continue"/>
            <w:shd w:val="clear" w:color="auto" w:fill="auto"/>
            <w:noWrap w:val="0"/>
            <w:vAlign w:val="center"/>
          </w:tcPr>
          <w:p>
            <w:pPr>
              <w:rPr>
                <w:rFonts w:ascii="仿宋_GB2312" w:eastAsia="仿宋_GB2312"/>
                <w:sz w:val="18"/>
                <w:szCs w:val="18"/>
              </w:rPr>
            </w:pP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16</w:t>
            </w:r>
          </w:p>
        </w:tc>
        <w:tc>
          <w:tcPr>
            <w:tcW w:w="90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采购文件</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shd w:val="clear" w:color="auto" w:fill="auto"/>
            <w:noWrap w:val="0"/>
            <w:vAlign w:val="center"/>
          </w:tcPr>
          <w:p>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p>
          <w:p>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p>
          <w:p>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《中国财经报》（《中国政府采购报》）</w:t>
            </w:r>
          </w:p>
          <w:p>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《中国政府采购杂志》</w:t>
            </w:r>
          </w:p>
          <w:p>
            <w:pPr>
              <w:spacing w:line="240" w:lineRule="exact"/>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《中国财政杂志》</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17</w:t>
            </w:r>
          </w:p>
        </w:tc>
        <w:tc>
          <w:tcPr>
            <w:tcW w:w="900" w:type="dxa"/>
            <w:vMerge w:val="continue"/>
            <w:shd w:val="clear" w:color="auto" w:fill="auto"/>
            <w:noWrap w:val="0"/>
            <w:vAlign w:val="center"/>
          </w:tcPr>
          <w:p>
            <w:pPr>
              <w:jc w:val="center"/>
              <w:rPr>
                <w:rFonts w:hint="eastAsia" w:ascii="仿宋_GB2312" w:eastAsia="仿宋_GB2312"/>
                <w:sz w:val="18"/>
                <w:szCs w:val="18"/>
              </w:rPr>
            </w:pP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采购信息更正公告</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shd w:val="clear" w:color="auto" w:fill="auto"/>
            <w:noWrap w:val="0"/>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■《中国财政杂志》</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18</w:t>
            </w:r>
          </w:p>
        </w:tc>
        <w:tc>
          <w:tcPr>
            <w:tcW w:w="90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单一来源公示</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shd w:val="clear" w:color="auto" w:fill="auto"/>
            <w:noWrap w:val="0"/>
            <w:vAlign w:val="center"/>
          </w:tcPr>
          <w:p>
            <w:pPr>
              <w:jc w:val="left"/>
              <w:rPr>
                <w:rFonts w:hint="eastAsia" w:ascii="仿宋_GB2312" w:eastAsia="仿宋_GB2312"/>
                <w:sz w:val="18"/>
                <w:szCs w:val="18"/>
              </w:rPr>
            </w:pPr>
            <w:r>
              <w:rPr>
                <w:rFonts w:hint="eastAsia" w:ascii="仿宋_GB2312" w:eastAsia="仿宋_GB2312"/>
                <w:sz w:val="18"/>
                <w:szCs w:val="18"/>
              </w:rPr>
              <w:t>及时公开，公示期限不得少于5个工作日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shd w:val="clear" w:color="auto" w:fill="auto"/>
            <w:noWrap w:val="0"/>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■《中国财政杂志》</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19</w:t>
            </w:r>
          </w:p>
        </w:tc>
        <w:tc>
          <w:tcPr>
            <w:tcW w:w="900" w:type="dxa"/>
            <w:vMerge w:val="continue"/>
            <w:shd w:val="clear" w:color="auto" w:fill="auto"/>
            <w:noWrap w:val="0"/>
            <w:vAlign w:val="center"/>
          </w:tcPr>
          <w:p>
            <w:pPr>
              <w:jc w:val="center"/>
              <w:rPr>
                <w:rFonts w:hint="eastAsia" w:ascii="仿宋_GB2312" w:eastAsia="仿宋_GB2312"/>
                <w:sz w:val="18"/>
                <w:szCs w:val="18"/>
              </w:rPr>
            </w:pP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协议供货和定点采购的具体成交记录</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集中采购机构</w:t>
            </w:r>
          </w:p>
        </w:tc>
        <w:tc>
          <w:tcPr>
            <w:tcW w:w="1856" w:type="dxa"/>
            <w:shd w:val="clear" w:color="auto" w:fill="auto"/>
            <w:noWrap w:val="0"/>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■中国政府采购网及其省级分网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shd w:val="clear" w:color="auto" w:fill="auto"/>
            <w:noWrap w:val="0"/>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20</w:t>
            </w:r>
          </w:p>
        </w:tc>
        <w:tc>
          <w:tcPr>
            <w:tcW w:w="90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中标、成交结果</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shd w:val="clear" w:color="auto" w:fill="auto"/>
            <w:noWrap w:val="0"/>
            <w:vAlign w:val="center"/>
          </w:tcPr>
          <w:p>
            <w:pPr>
              <w:jc w:val="left"/>
              <w:rPr>
                <w:rFonts w:hint="eastAsia"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shd w:val="clear" w:color="auto" w:fill="auto"/>
            <w:noWrap w:val="0"/>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■《中国财政杂志》</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21</w:t>
            </w:r>
          </w:p>
        </w:tc>
        <w:tc>
          <w:tcPr>
            <w:tcW w:w="900" w:type="dxa"/>
            <w:vMerge w:val="continue"/>
            <w:shd w:val="clear" w:color="auto" w:fill="auto"/>
            <w:noWrap w:val="0"/>
            <w:vAlign w:val="center"/>
          </w:tcPr>
          <w:p>
            <w:pPr>
              <w:jc w:val="center"/>
              <w:rPr>
                <w:rFonts w:hint="eastAsia" w:ascii="仿宋_GB2312" w:eastAsia="仿宋_GB2312"/>
                <w:sz w:val="18"/>
                <w:szCs w:val="18"/>
              </w:rPr>
            </w:pP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采购合同</w:t>
            </w:r>
          </w:p>
        </w:tc>
        <w:tc>
          <w:tcPr>
            <w:tcW w:w="3364" w:type="dxa"/>
            <w:shd w:val="clear" w:color="auto" w:fill="auto"/>
            <w:noWrap w:val="0"/>
            <w:vAlign w:val="center"/>
          </w:tcPr>
          <w:p>
            <w:pPr>
              <w:rPr>
                <w:rFonts w:hint="eastAsia" w:ascii="仿宋_GB2312" w:eastAsia="仿宋_GB2312"/>
                <w:sz w:val="18"/>
                <w:szCs w:val="18"/>
                <w:lang w:eastAsia="zh-CN"/>
              </w:rPr>
            </w:pPr>
            <w:r>
              <w:rPr>
                <w:rFonts w:hint="eastAsia" w:ascii="仿宋_GB2312" w:eastAsia="仿宋_GB2312"/>
                <w:sz w:val="18"/>
                <w:szCs w:val="18"/>
              </w:rPr>
              <w:t>采购人和采购代理机构名称、地址、联系方式；采购项目名称、编号，合同编号；供应商名称；合同内容。</w:t>
            </w:r>
          </w:p>
          <w:p>
            <w:pPr>
              <w:rPr>
                <w:rFonts w:hint="eastAsia" w:ascii="仿宋_GB2312" w:eastAsia="仿宋_GB2312"/>
                <w:sz w:val="18"/>
                <w:szCs w:val="18"/>
              </w:rPr>
            </w:pP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合同签订之日起2个工作日内</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shd w:val="clear" w:color="auto" w:fill="auto"/>
            <w:noWrap w:val="0"/>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■《中国财政杂志》</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shd w:val="clear" w:color="auto" w:fill="auto"/>
            <w:noWrap w:val="0"/>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22</w:t>
            </w:r>
          </w:p>
        </w:tc>
        <w:tc>
          <w:tcPr>
            <w:tcW w:w="90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终止公告</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shd w:val="clear" w:color="auto" w:fill="auto"/>
            <w:noWrap w:val="0"/>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■《中国财政杂志》</w:t>
            </w:r>
          </w:p>
          <w:p>
            <w:pPr>
              <w:spacing w:line="240" w:lineRule="exact"/>
              <w:rPr>
                <w:rFonts w:ascii="仿宋_GB2312" w:eastAsia="仿宋_GB2312"/>
                <w:sz w:val="18"/>
                <w:szCs w:val="18"/>
              </w:rPr>
            </w:pPr>
            <w:r>
              <w:rPr>
                <w:rFonts w:hint="eastAsia" w:ascii="仿宋_GB2312" w:hAnsi="宋体"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23</w:t>
            </w:r>
          </w:p>
        </w:tc>
        <w:tc>
          <w:tcPr>
            <w:tcW w:w="900" w:type="dxa"/>
            <w:vMerge w:val="continue"/>
            <w:shd w:val="clear" w:color="auto" w:fill="auto"/>
            <w:noWrap w:val="0"/>
            <w:vAlign w:val="center"/>
          </w:tcPr>
          <w:p>
            <w:pPr>
              <w:jc w:val="center"/>
              <w:rPr>
                <w:rFonts w:hint="eastAsia" w:ascii="仿宋_GB2312" w:eastAsia="仿宋_GB2312"/>
                <w:sz w:val="18"/>
                <w:szCs w:val="18"/>
              </w:rPr>
            </w:pP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公共服务项目采购需求</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w:t>
            </w:r>
          </w:p>
        </w:tc>
        <w:tc>
          <w:tcPr>
            <w:tcW w:w="1856" w:type="dxa"/>
            <w:shd w:val="clear" w:color="auto" w:fill="auto"/>
            <w:noWrap w:val="0"/>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■《中国财政杂志》</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24</w:t>
            </w:r>
          </w:p>
        </w:tc>
        <w:tc>
          <w:tcPr>
            <w:tcW w:w="900" w:type="dxa"/>
            <w:vMerge w:val="continue"/>
            <w:shd w:val="clear" w:color="auto" w:fill="auto"/>
            <w:noWrap w:val="0"/>
            <w:vAlign w:val="center"/>
          </w:tcPr>
          <w:p>
            <w:pPr>
              <w:jc w:val="center"/>
              <w:rPr>
                <w:rFonts w:hint="eastAsia" w:ascii="仿宋_GB2312" w:eastAsia="仿宋_GB2312"/>
                <w:sz w:val="18"/>
                <w:szCs w:val="18"/>
              </w:rPr>
            </w:pP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公共服务项目验收结果</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验收结束之日起2个工作日内</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w:t>
            </w:r>
          </w:p>
        </w:tc>
        <w:tc>
          <w:tcPr>
            <w:tcW w:w="1856" w:type="dxa"/>
            <w:shd w:val="clear" w:color="auto" w:fill="auto"/>
            <w:noWrap w:val="0"/>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■《中国财政杂志》</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25</w:t>
            </w:r>
          </w:p>
        </w:tc>
        <w:tc>
          <w:tcPr>
            <w:tcW w:w="90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投诉、监督检查等处理决定公告</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财政部门</w:t>
            </w:r>
          </w:p>
        </w:tc>
        <w:tc>
          <w:tcPr>
            <w:tcW w:w="1856" w:type="dxa"/>
            <w:vMerge w:val="restart"/>
            <w:shd w:val="clear" w:color="auto" w:fill="auto"/>
            <w:noWrap w:val="0"/>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■中国政府采购网及其地方分网</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■省级（含计划单列市）财政部门指定的媒体</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■《中国财经报》（《中国政府采购报》）</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■《中国政府采购杂志》</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■《中国财政杂志》</w:t>
            </w:r>
          </w:p>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■公共资源交易平台</w:t>
            </w:r>
          </w:p>
          <w:p>
            <w:pPr>
              <w:spacing w:line="240" w:lineRule="exact"/>
              <w:rPr>
                <w:rFonts w:ascii="仿宋_GB2312" w:eastAsia="仿宋_GB2312"/>
                <w:sz w:val="18"/>
                <w:szCs w:val="18"/>
              </w:rPr>
            </w:pPr>
            <w:r>
              <w:rPr>
                <w:rFonts w:hint="eastAsia" w:ascii="仿宋_GB2312" w:hAnsi="宋体" w:eastAsia="仿宋_GB2312"/>
                <w:sz w:val="18"/>
                <w:szCs w:val="18"/>
              </w:rPr>
              <w:t>■信用中国</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26</w:t>
            </w:r>
          </w:p>
        </w:tc>
        <w:tc>
          <w:tcPr>
            <w:tcW w:w="900" w:type="dxa"/>
            <w:vMerge w:val="continue"/>
            <w:shd w:val="clear" w:color="auto" w:fill="auto"/>
            <w:noWrap w:val="0"/>
            <w:vAlign w:val="center"/>
          </w:tcPr>
          <w:p>
            <w:pPr>
              <w:jc w:val="center"/>
              <w:rPr>
                <w:rFonts w:hint="eastAsia" w:ascii="仿宋_GB2312" w:eastAsia="仿宋_GB2312"/>
                <w:sz w:val="18"/>
                <w:szCs w:val="18"/>
              </w:rPr>
            </w:pP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集中采购机构的考核结果公告</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同上</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财政部门</w:t>
            </w:r>
          </w:p>
        </w:tc>
        <w:tc>
          <w:tcPr>
            <w:tcW w:w="1856" w:type="dxa"/>
            <w:vMerge w:val="continue"/>
            <w:shd w:val="clear" w:color="auto" w:fill="auto"/>
            <w:noWrap w:val="0"/>
            <w:vAlign w:val="center"/>
          </w:tcPr>
          <w:p>
            <w:pPr>
              <w:rPr>
                <w:rFonts w:ascii="仿宋_GB2312" w:eastAsia="仿宋_GB2312"/>
                <w:sz w:val="18"/>
                <w:szCs w:val="18"/>
              </w:rPr>
            </w:pP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27</w:t>
            </w:r>
          </w:p>
        </w:tc>
        <w:tc>
          <w:tcPr>
            <w:tcW w:w="90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国有土地使用权出让信息</w:t>
            </w: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土地出让计划</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明确国有建设用地供应指导思想和原则；提出国有建设用地供应政策导向；确定国有建设用地供应总量、结构、布局、时序和方式；落实计划供应的宗地；实施计划的保障措施。</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《国务院办公厅关于推进公共资源配置领域政府信息公开的意见》、《招标拍卖挂牌出让国有建设用地使用权规定》、《国有建设用地供应计划编制规范》（试行）</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每年3月31日前，公布年度国有建设用地供应计划</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市、县人民政府自然资源行政主管部门（简称出让人）</w:t>
            </w:r>
          </w:p>
        </w:tc>
        <w:tc>
          <w:tcPr>
            <w:tcW w:w="1856" w:type="dxa"/>
            <w:shd w:val="clear" w:color="auto" w:fill="auto"/>
            <w:noWrap w:val="0"/>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28</w:t>
            </w:r>
          </w:p>
        </w:tc>
        <w:tc>
          <w:tcPr>
            <w:tcW w:w="900" w:type="dxa"/>
            <w:vMerge w:val="continue"/>
            <w:shd w:val="clear" w:color="auto" w:fill="auto"/>
            <w:noWrap w:val="0"/>
            <w:vAlign w:val="center"/>
          </w:tcPr>
          <w:p>
            <w:pPr>
              <w:jc w:val="center"/>
              <w:rPr>
                <w:rFonts w:hint="eastAsia" w:ascii="仿宋_GB2312" w:eastAsia="仿宋_GB2312"/>
                <w:sz w:val="18"/>
                <w:szCs w:val="18"/>
              </w:rPr>
            </w:pP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招标拍卖挂牌出让公告</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至少在投标、拍卖或者挂牌开始日前20日。挂牌时间不得少于10日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出让人</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土地有形市场或者指定的场所、媒介（一般指中国土地市场网、当地政府媒介）</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29</w:t>
            </w:r>
          </w:p>
        </w:tc>
        <w:tc>
          <w:tcPr>
            <w:tcW w:w="90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国有土地使用权出让信息　</w:t>
            </w:r>
          </w:p>
          <w:p>
            <w:pPr>
              <w:jc w:val="center"/>
              <w:rPr>
                <w:rFonts w:hint="eastAsia" w:ascii="仿宋_GB2312" w:eastAsia="仿宋_GB2312"/>
                <w:sz w:val="18"/>
                <w:szCs w:val="18"/>
              </w:rPr>
            </w:pP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公告调整</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公开国有建设用地使用权出让公告、项目概况、澄清或者修改事项、联系方式。</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《招标拍卖挂牌出让国有土地使用权规范》</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按原公告发布渠道及时发布补充公告，涉及土地使用条件变更等影响土地价格的重大变动，补充公告发布时间距招拍挂活动开始时间少于20日的，招拍挂活动相应顺延</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市、县人民政府自然资源管理部门</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中国土地市场网或者土地有形市场等指定场所</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30</w:t>
            </w:r>
          </w:p>
        </w:tc>
        <w:tc>
          <w:tcPr>
            <w:tcW w:w="900" w:type="dxa"/>
            <w:vMerge w:val="continue"/>
            <w:shd w:val="clear" w:color="auto" w:fill="auto"/>
            <w:noWrap w:val="0"/>
            <w:vAlign w:val="center"/>
          </w:tcPr>
          <w:p>
            <w:pPr>
              <w:jc w:val="center"/>
              <w:rPr>
                <w:rFonts w:hint="eastAsia" w:ascii="仿宋_GB2312" w:eastAsia="仿宋_GB2312"/>
                <w:sz w:val="18"/>
                <w:szCs w:val="18"/>
              </w:rPr>
            </w:pP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招标拍卖挂牌出让结果（成交公示）</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土地位置、面积、用途、开发程度、土地级别、容积率、出让年限、供地方式、受让人、成交价格和成交时间等。</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《国务院办公厅关于推进公共资源配置领域政府信息公开的意见》、《招标拍卖挂牌出让国有建设用地使用权规定》、《招标拍卖挂牌出让国有土地使用权规范》</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招标拍卖挂牌活动结束后的10个工作日内</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出让人</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土地有形市场或者指定的场所、媒介（一般指中国土地市场网、当地政府媒介）</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31</w:t>
            </w:r>
          </w:p>
        </w:tc>
        <w:tc>
          <w:tcPr>
            <w:tcW w:w="900" w:type="dxa"/>
            <w:vMerge w:val="continue"/>
            <w:shd w:val="clear" w:color="auto" w:fill="auto"/>
            <w:noWrap w:val="0"/>
            <w:vAlign w:val="center"/>
          </w:tcPr>
          <w:p>
            <w:pPr>
              <w:jc w:val="center"/>
              <w:rPr>
                <w:rFonts w:hint="eastAsia" w:ascii="仿宋_GB2312" w:eastAsia="仿宋_GB2312"/>
                <w:sz w:val="18"/>
                <w:szCs w:val="18"/>
              </w:rPr>
            </w:pP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供应结果</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国有建设用地使用权年度供应结果。</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p>
        </w:tc>
        <w:tc>
          <w:tcPr>
            <w:tcW w:w="162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各级自然资源管理部门</w:t>
            </w:r>
          </w:p>
        </w:tc>
        <w:tc>
          <w:tcPr>
            <w:tcW w:w="1856" w:type="dxa"/>
            <w:shd w:val="clear" w:color="auto" w:fill="auto"/>
            <w:noWrap w:val="0"/>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32</w:t>
            </w:r>
          </w:p>
        </w:tc>
        <w:tc>
          <w:tcPr>
            <w:tcW w:w="90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矿业权出让信息</w:t>
            </w: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招标拍卖挂牌出让公告</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《国务院办公厅关于推进公共资源配置领域政府信息公开的意见》、国土资源部关于印发矿业权交易规则》的通知、《自然资源部关于调整&lt;矿业权交易规则&gt;有关规定的通知》</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在投标截止日、公开拍卖日或者挂牌起始日20个工作日前发布。挂牌时间不得少于10个工作日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自然资源主管部门</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公共资源交易平台</w:t>
            </w:r>
          </w:p>
          <w:p>
            <w:pPr>
              <w:rPr>
                <w:rFonts w:hint="eastAsia" w:ascii="仿宋_GB2312" w:eastAsia="仿宋_GB2312"/>
                <w:sz w:val="18"/>
                <w:szCs w:val="18"/>
                <w:lang w:eastAsia="zh-CN"/>
              </w:rPr>
            </w:pPr>
            <w:r>
              <w:rPr>
                <w:rFonts w:hint="eastAsia" w:ascii="仿宋_GB2312" w:eastAsia="仿宋_GB2312"/>
                <w:sz w:val="18"/>
                <w:szCs w:val="18"/>
              </w:rPr>
              <w:t>在下列平台同时发布：</w:t>
            </w:r>
            <w:r>
              <w:rPr>
                <w:rFonts w:hint="eastAsia" w:ascii="仿宋_GB2312" w:hAnsi="宋体" w:eastAsia="仿宋_GB2312"/>
                <w:sz w:val="18"/>
                <w:szCs w:val="18"/>
              </w:rPr>
              <w:t>■</w:t>
            </w:r>
            <w:r>
              <w:rPr>
                <w:rFonts w:hint="eastAsia" w:ascii="仿宋_GB2312" w:eastAsia="仿宋_GB2312"/>
                <w:sz w:val="18"/>
                <w:szCs w:val="18"/>
              </w:rPr>
              <w:t>自然资源部门户网站</w:t>
            </w:r>
          </w:p>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同级自然资源主管部门门户网站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矿业权交易平台交易大厅</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33</w:t>
            </w:r>
          </w:p>
        </w:tc>
        <w:tc>
          <w:tcPr>
            <w:tcW w:w="900" w:type="dxa"/>
            <w:vMerge w:val="continue"/>
            <w:shd w:val="clear" w:color="auto" w:fill="auto"/>
            <w:noWrap w:val="0"/>
            <w:vAlign w:val="center"/>
          </w:tcPr>
          <w:p>
            <w:pPr>
              <w:jc w:val="center"/>
              <w:rPr>
                <w:rFonts w:hint="eastAsia" w:ascii="仿宋_GB2312" w:eastAsia="仿宋_GB2312"/>
                <w:sz w:val="18"/>
                <w:szCs w:val="18"/>
              </w:rPr>
            </w:pP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招标拍卖挂牌成交结果公示</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《国务院办公厅关于推进公共资源配置领域政府信息公开的意见》、国土资源部关于印发矿业权交易规则》的通知</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发出中标通知书或者签订成交确认书后5个工作日内进行信息公示。公示期不少于10个工作日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自然资源行政主管部门</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公共资源交易平台</w:t>
            </w:r>
          </w:p>
          <w:p>
            <w:pPr>
              <w:rPr>
                <w:rFonts w:hint="eastAsia" w:ascii="仿宋_GB2312" w:eastAsia="仿宋_GB2312"/>
                <w:sz w:val="18"/>
                <w:szCs w:val="18"/>
                <w:lang w:eastAsia="zh-CN"/>
              </w:rPr>
            </w:pPr>
            <w:r>
              <w:rPr>
                <w:rFonts w:hint="eastAsia" w:ascii="仿宋_GB2312" w:eastAsia="仿宋_GB2312"/>
                <w:sz w:val="18"/>
                <w:szCs w:val="18"/>
              </w:rPr>
              <w:t>在下列平台同时发布：</w:t>
            </w:r>
            <w:r>
              <w:rPr>
                <w:rFonts w:hint="eastAsia" w:ascii="仿宋_GB2312" w:hAnsi="宋体" w:eastAsia="仿宋_GB2312"/>
                <w:sz w:val="18"/>
                <w:szCs w:val="18"/>
              </w:rPr>
              <w:t>■</w:t>
            </w:r>
            <w:r>
              <w:rPr>
                <w:rFonts w:hint="eastAsia" w:ascii="仿宋_GB2312" w:eastAsia="仿宋_GB2312"/>
                <w:sz w:val="18"/>
                <w:szCs w:val="18"/>
              </w:rPr>
              <w:t>自然资源部门户网站</w:t>
            </w:r>
          </w:p>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同级自然资源主管部门门户网站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矿业权交易平台交易大厅</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34</w:t>
            </w:r>
          </w:p>
        </w:tc>
        <w:tc>
          <w:tcPr>
            <w:tcW w:w="90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矿业权出让信息</w:t>
            </w: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审批结果信息</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每个项目的审批结果信息（交易完成后由各级自然资源管理部门审批）。</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《政府信息公开条例》、《国务院办公厅关于推进公共资源配置领域政府信息公开的意见》</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各级自然资源管理部门</w:t>
            </w:r>
          </w:p>
        </w:tc>
        <w:tc>
          <w:tcPr>
            <w:tcW w:w="1856" w:type="dxa"/>
            <w:shd w:val="clear" w:color="auto" w:fill="auto"/>
            <w:noWrap w:val="0"/>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35</w:t>
            </w:r>
          </w:p>
        </w:tc>
        <w:tc>
          <w:tcPr>
            <w:tcW w:w="900" w:type="dxa"/>
            <w:vMerge w:val="continue"/>
            <w:shd w:val="clear" w:color="auto" w:fill="auto"/>
            <w:noWrap w:val="0"/>
            <w:vAlign w:val="center"/>
          </w:tcPr>
          <w:p>
            <w:pPr>
              <w:jc w:val="center"/>
              <w:rPr>
                <w:rFonts w:hint="eastAsia" w:ascii="仿宋_GB2312" w:eastAsia="仿宋_GB2312"/>
                <w:sz w:val="18"/>
                <w:szCs w:val="18"/>
              </w:rPr>
            </w:pP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项目信息</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公告有效期内矿业权基本信息包括矿业权名称、许可证号、矿业权人、矿种、有效期限。</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《政府信息公开条例》、《国务院办公厅关于推进公共资源配置领域政府信息公开的意见》</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每年一季度集中公告</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各级自然资源管理部门</w:t>
            </w:r>
          </w:p>
        </w:tc>
        <w:tc>
          <w:tcPr>
            <w:tcW w:w="1856" w:type="dxa"/>
            <w:shd w:val="clear" w:color="auto" w:fill="auto"/>
            <w:noWrap w:val="0"/>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36</w:t>
            </w:r>
          </w:p>
        </w:tc>
        <w:tc>
          <w:tcPr>
            <w:tcW w:w="90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国有产权交易信息</w:t>
            </w: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国有企业产权转让信息预披露</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及时公开，正式披露信息时间不得少于20个工作日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转让方</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产权交易机构网站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37</w:t>
            </w:r>
          </w:p>
        </w:tc>
        <w:tc>
          <w:tcPr>
            <w:tcW w:w="90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国有产权交易信息</w:t>
            </w: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国有企业产权转让信息披露</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及时公开，正式披露信息时间不得少于20个工作日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转让方</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产权交易机构网站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38</w:t>
            </w:r>
          </w:p>
        </w:tc>
        <w:tc>
          <w:tcPr>
            <w:tcW w:w="900" w:type="dxa"/>
            <w:vMerge w:val="continue"/>
            <w:shd w:val="clear" w:color="auto" w:fill="auto"/>
            <w:noWrap w:val="0"/>
            <w:vAlign w:val="center"/>
          </w:tcPr>
          <w:p>
            <w:pPr>
              <w:rPr>
                <w:rFonts w:hint="eastAsia" w:ascii="仿宋_GB2312" w:eastAsia="仿宋_GB2312"/>
                <w:sz w:val="18"/>
                <w:szCs w:val="18"/>
              </w:rPr>
            </w:pP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国有企业产权转让成交公告</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交易标的名称、转让标的评估结果、转让底价、交易价格。</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及时公开，公告期不少于5个工作日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产权交易机构</w:t>
            </w:r>
          </w:p>
        </w:tc>
        <w:tc>
          <w:tcPr>
            <w:tcW w:w="1856" w:type="dxa"/>
            <w:shd w:val="clear" w:color="auto" w:fill="auto"/>
            <w:noWrap w:val="0"/>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39</w:t>
            </w:r>
          </w:p>
        </w:tc>
        <w:tc>
          <w:tcPr>
            <w:tcW w:w="90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国有产权交易信息</w:t>
            </w: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国有企业资产转让信息披露</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转让方</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产权交易机构网站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40</w:t>
            </w:r>
          </w:p>
        </w:tc>
        <w:tc>
          <w:tcPr>
            <w:tcW w:w="900" w:type="dxa"/>
            <w:vMerge w:val="continue"/>
            <w:shd w:val="clear" w:color="auto" w:fill="auto"/>
            <w:noWrap w:val="0"/>
            <w:vAlign w:val="center"/>
          </w:tcPr>
          <w:p>
            <w:pPr>
              <w:rPr>
                <w:rFonts w:hint="eastAsia" w:ascii="仿宋_GB2312" w:eastAsia="仿宋_GB2312"/>
                <w:sz w:val="18"/>
                <w:szCs w:val="18"/>
              </w:rPr>
            </w:pPr>
          </w:p>
        </w:tc>
        <w:tc>
          <w:tcPr>
            <w:tcW w:w="776"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国有企业资产转让成交公告</w:t>
            </w:r>
          </w:p>
        </w:tc>
        <w:tc>
          <w:tcPr>
            <w:tcW w:w="3364"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交易标的名称、评估价格、转让底价、交易价格等。</w:t>
            </w:r>
          </w:p>
        </w:tc>
        <w:tc>
          <w:tcPr>
            <w:tcW w:w="234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不少于5个工作日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产权交易机构</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rPr>
              <w:t>产权交易机构网站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41</w:t>
            </w:r>
          </w:p>
        </w:tc>
        <w:tc>
          <w:tcPr>
            <w:tcW w:w="900" w:type="dxa"/>
            <w:shd w:val="clear" w:color="auto" w:fill="auto"/>
            <w:noWrap w:val="0"/>
            <w:vAlign w:val="center"/>
          </w:tcPr>
          <w:p>
            <w:pPr>
              <w:rPr>
                <w:rFonts w:hint="default" w:ascii="仿宋_GB2312" w:eastAsia="仿宋_GB2312"/>
                <w:sz w:val="18"/>
                <w:szCs w:val="18"/>
                <w:lang w:val="en-US" w:eastAsia="zh-CN"/>
              </w:rPr>
            </w:pPr>
            <w:r>
              <w:rPr>
                <w:rFonts w:hint="eastAsia" w:ascii="仿宋_GB2312" w:eastAsia="仿宋_GB2312"/>
                <w:sz w:val="18"/>
                <w:szCs w:val="18"/>
                <w:lang w:val="en-US" w:eastAsia="zh-CN"/>
              </w:rPr>
              <w:t>药械集中采购信息</w:t>
            </w:r>
          </w:p>
        </w:tc>
        <w:tc>
          <w:tcPr>
            <w:tcW w:w="776" w:type="dxa"/>
            <w:shd w:val="clear" w:color="auto" w:fill="auto"/>
            <w:noWrap w:val="0"/>
            <w:vAlign w:val="center"/>
          </w:tcPr>
          <w:p>
            <w:pPr>
              <w:rPr>
                <w:rFonts w:hint="eastAsia" w:ascii="仿宋_GB2312" w:eastAsia="仿宋_GB2312"/>
                <w:sz w:val="18"/>
                <w:szCs w:val="18"/>
                <w:lang w:val="en-US" w:eastAsia="zh-CN"/>
              </w:rPr>
            </w:pPr>
            <w:r>
              <w:rPr>
                <w:rFonts w:hint="eastAsia" w:ascii="仿宋_GB2312" w:eastAsia="仿宋_GB2312"/>
                <w:sz w:val="18"/>
                <w:szCs w:val="18"/>
                <w:lang w:val="en-US" w:eastAsia="zh-CN"/>
              </w:rPr>
              <w:t>药械集中采购公告</w:t>
            </w:r>
          </w:p>
        </w:tc>
        <w:tc>
          <w:tcPr>
            <w:tcW w:w="3364" w:type="dxa"/>
            <w:shd w:val="clear" w:color="auto" w:fill="auto"/>
            <w:noWrap w:val="0"/>
            <w:vAlign w:val="center"/>
          </w:tcPr>
          <w:p>
            <w:pPr>
              <w:rPr>
                <w:rFonts w:hint="default" w:ascii="仿宋_GB2312" w:eastAsia="仿宋_GB2312"/>
                <w:sz w:val="18"/>
                <w:szCs w:val="18"/>
                <w:lang w:val="en-US" w:eastAsia="zh-CN"/>
              </w:rPr>
            </w:pPr>
            <w:r>
              <w:rPr>
                <w:rFonts w:hint="eastAsia" w:ascii="仿宋_GB2312" w:eastAsia="仿宋_GB2312"/>
                <w:sz w:val="18"/>
                <w:szCs w:val="18"/>
                <w:lang w:val="en-US" w:eastAsia="zh-CN"/>
              </w:rPr>
              <w:t>药品（高值医用耗材）集中采购工作方案、采购文件、采购结果以及不良记录</w:t>
            </w:r>
          </w:p>
        </w:tc>
        <w:tc>
          <w:tcPr>
            <w:tcW w:w="2340" w:type="dxa"/>
            <w:shd w:val="clear" w:color="auto" w:fill="auto"/>
            <w:noWrap w:val="0"/>
            <w:vAlign w:val="center"/>
          </w:tcPr>
          <w:p>
            <w:pPr>
              <w:rPr>
                <w:rFonts w:hint="eastAsia" w:ascii="仿宋_GB2312" w:eastAsia="仿宋_GB2312"/>
                <w:sz w:val="18"/>
                <w:szCs w:val="18"/>
                <w:lang w:eastAsia="zh-CN"/>
              </w:rPr>
            </w:pPr>
            <w:r>
              <w:rPr>
                <w:rFonts w:hint="eastAsia" w:ascii="仿宋_GB2312" w:eastAsia="仿宋_GB2312"/>
                <w:sz w:val="18"/>
                <w:szCs w:val="18"/>
                <w:lang w:eastAsia="zh-CN"/>
              </w:rPr>
              <w:t>《</w:t>
            </w:r>
            <w:r>
              <w:rPr>
                <w:rFonts w:hint="eastAsia" w:ascii="仿宋_GB2312" w:eastAsia="仿宋_GB2312"/>
                <w:sz w:val="18"/>
                <w:szCs w:val="18"/>
                <w:lang w:val="en-US" w:eastAsia="zh-CN"/>
              </w:rPr>
              <w:t>吉林省人民政府办公厅关于印发吉林省深入推进公共资源配置领域政府信息公开工作实施方案的通知</w:t>
            </w:r>
            <w:r>
              <w:rPr>
                <w:rFonts w:hint="eastAsia" w:ascii="仿宋_GB2312" w:eastAsia="仿宋_GB2312"/>
                <w:sz w:val="18"/>
                <w:szCs w:val="18"/>
                <w:lang w:eastAsia="zh-CN"/>
              </w:rPr>
              <w:t>》</w:t>
            </w:r>
          </w:p>
        </w:tc>
        <w:tc>
          <w:tcPr>
            <w:tcW w:w="1620" w:type="dxa"/>
            <w:shd w:val="clear" w:color="auto" w:fill="auto"/>
            <w:noWrap w:val="0"/>
            <w:vAlign w:val="center"/>
          </w:tcPr>
          <w:p>
            <w:pPr>
              <w:rPr>
                <w:rFonts w:hint="eastAsia" w:ascii="仿宋_GB2312" w:eastAsia="仿宋_GB2312"/>
                <w:sz w:val="18"/>
                <w:szCs w:val="18"/>
                <w:lang w:val="en-US" w:eastAsia="zh-CN"/>
              </w:rPr>
            </w:pPr>
            <w:r>
              <w:rPr>
                <w:rFonts w:hint="eastAsia" w:ascii="仿宋_GB2312" w:eastAsia="仿宋_GB2312"/>
                <w:sz w:val="18"/>
                <w:szCs w:val="18"/>
                <w:lang w:val="en-US" w:eastAsia="zh-CN"/>
              </w:rPr>
              <w:t>及时公开</w:t>
            </w:r>
          </w:p>
        </w:tc>
        <w:tc>
          <w:tcPr>
            <w:tcW w:w="956" w:type="dxa"/>
            <w:shd w:val="clear" w:color="auto" w:fill="auto"/>
            <w:noWrap w:val="0"/>
            <w:vAlign w:val="center"/>
          </w:tcPr>
          <w:p>
            <w:pPr>
              <w:rPr>
                <w:rFonts w:hint="default" w:ascii="仿宋_GB2312" w:eastAsia="仿宋_GB2312"/>
                <w:sz w:val="18"/>
                <w:szCs w:val="18"/>
                <w:lang w:val="en-US" w:eastAsia="zh-CN"/>
              </w:rPr>
            </w:pPr>
            <w:r>
              <w:rPr>
                <w:rFonts w:hint="eastAsia" w:ascii="仿宋_GB2312" w:eastAsia="仿宋_GB2312"/>
                <w:sz w:val="18"/>
                <w:szCs w:val="18"/>
                <w:lang w:val="en-US" w:eastAsia="zh-CN"/>
              </w:rPr>
              <w:t>医疗保障管理部门公共资源交易运行服务机构</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lang w:val="en-US" w:eastAsia="zh-CN"/>
              </w:rPr>
              <w:t>政府网站</w:t>
            </w:r>
          </w:p>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w:t>
            </w:r>
          </w:p>
        </w:tc>
        <w:tc>
          <w:tcPr>
            <w:tcW w:w="900" w:type="dxa"/>
            <w:shd w:val="clear" w:color="auto" w:fill="auto"/>
            <w:noWrap w:val="0"/>
            <w:vAlign w:val="center"/>
          </w:tcPr>
          <w:p>
            <w:pP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w:t>
            </w:r>
          </w:p>
        </w:tc>
        <w:tc>
          <w:tcPr>
            <w:tcW w:w="788" w:type="dxa"/>
            <w:shd w:val="clear" w:color="auto" w:fill="auto"/>
            <w:noWrap w:val="0"/>
            <w:vAlign w:val="center"/>
          </w:tcPr>
          <w:p>
            <w:pPr>
              <w:jc w:val="center"/>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w:t>
            </w:r>
          </w:p>
        </w:tc>
        <w:tc>
          <w:tcPr>
            <w:tcW w:w="900" w:type="dxa"/>
            <w:shd w:val="clear" w:color="auto" w:fill="auto"/>
            <w:noWrap w:val="0"/>
            <w:vAlign w:val="center"/>
          </w:tcPr>
          <w:p>
            <w:pPr>
              <w:rPr>
                <w:rFonts w:hint="eastAsia" w:ascii="仿宋_GB2312" w:eastAsia="仿宋_GB2312"/>
                <w:sz w:val="18"/>
                <w:szCs w:val="18"/>
              </w:rPr>
            </w:pPr>
          </w:p>
        </w:tc>
      </w:tr>
    </w:tbl>
    <w:p>
      <w:pPr>
        <w:rPr>
          <w:rFonts w:ascii="仿宋_GB2312" w:eastAsia="仿宋_GB2312"/>
          <w:sz w:val="18"/>
          <w:szCs w:val="18"/>
        </w:rPr>
      </w:pPr>
    </w:p>
    <w:p>
      <w:pPr>
        <w:jc w:val="center"/>
        <w:rPr>
          <w:rFonts w:hint="eastAsia" w:ascii="Times New Roman" w:hAnsi="Times New Roman" w:eastAsia="方正小标宋_GBK"/>
          <w:sz w:val="30"/>
          <w:szCs w:val="30"/>
        </w:rPr>
      </w:pPr>
    </w:p>
    <w:p>
      <w:pPr>
        <w:jc w:val="center"/>
        <w:rPr>
          <w:rFonts w:hint="eastAsia" w:ascii="Times New Roman" w:hAnsi="Times New Roman" w:eastAsia="方正小标宋_GBK"/>
          <w:sz w:val="30"/>
          <w:szCs w:val="30"/>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N2EzZTdlMmQzOTdlNjY5YjE2Zjg3Zjg1NWRhYzYifQ=="/>
  </w:docVars>
  <w:rsids>
    <w:rsidRoot w:val="612664DF"/>
    <w:rsid w:val="08544220"/>
    <w:rsid w:val="1D986F94"/>
    <w:rsid w:val="1DB014BB"/>
    <w:rsid w:val="20883AD1"/>
    <w:rsid w:val="3F9F3C0D"/>
    <w:rsid w:val="4C571903"/>
    <w:rsid w:val="612664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9162</Words>
  <Characters>9219</Characters>
  <Lines>0</Lines>
  <Paragraphs>0</Paragraphs>
  <TotalTime>12</TotalTime>
  <ScaleCrop>false</ScaleCrop>
  <LinksUpToDate>false</LinksUpToDate>
  <CharactersWithSpaces>9313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2022-11-23T08:59:00Z</dcterms:created>
  <dc:creator>秦妙</dc:creator>
  <cp:lastModifiedBy>秦妙</cp:lastModifiedBy>
  <cp:lastPrinted>2023-06-28T06:52:00Z</cp:lastPrinted>
  <dcterms:modified xsi:type="dcterms:W3CDTF">2023-07-05T03:24:31Z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07B2DD396B754B05BE85D1FE1F1DCA98</vt:lpwstr>
  </property>
</Properties>
</file>