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BA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 w14:paraId="329D9F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县县域商业项目清单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13"/>
        <w:gridCol w:w="955"/>
        <w:gridCol w:w="1363"/>
        <w:gridCol w:w="655"/>
        <w:gridCol w:w="709"/>
        <w:gridCol w:w="996"/>
        <w:gridCol w:w="1022"/>
        <w:gridCol w:w="3118"/>
        <w:gridCol w:w="941"/>
        <w:gridCol w:w="3118"/>
      </w:tblGrid>
      <w:tr w14:paraId="3254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7AA44D4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613" w:type="dxa"/>
            <w:noWrap w:val="0"/>
            <w:vAlign w:val="center"/>
          </w:tcPr>
          <w:p w14:paraId="1F078F40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年度</w:t>
            </w:r>
          </w:p>
        </w:tc>
        <w:tc>
          <w:tcPr>
            <w:tcW w:w="955" w:type="dxa"/>
            <w:noWrap w:val="0"/>
            <w:vAlign w:val="center"/>
          </w:tcPr>
          <w:p w14:paraId="1962E47C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项目位置</w:t>
            </w:r>
          </w:p>
        </w:tc>
        <w:tc>
          <w:tcPr>
            <w:tcW w:w="1363" w:type="dxa"/>
            <w:noWrap w:val="0"/>
            <w:vAlign w:val="center"/>
          </w:tcPr>
          <w:p w14:paraId="09FB7EF4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655" w:type="dxa"/>
            <w:noWrap w:val="0"/>
            <w:vAlign w:val="center"/>
          </w:tcPr>
          <w:p w14:paraId="43EE9622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建设类型</w:t>
            </w:r>
          </w:p>
        </w:tc>
        <w:tc>
          <w:tcPr>
            <w:tcW w:w="709" w:type="dxa"/>
            <w:noWrap w:val="0"/>
            <w:vAlign w:val="center"/>
          </w:tcPr>
          <w:p w14:paraId="5628F7B8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承办企业</w:t>
            </w:r>
          </w:p>
        </w:tc>
        <w:tc>
          <w:tcPr>
            <w:tcW w:w="996" w:type="dxa"/>
            <w:noWrap w:val="0"/>
            <w:vAlign w:val="center"/>
          </w:tcPr>
          <w:p w14:paraId="3F2FFDAF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总投资额</w:t>
            </w:r>
          </w:p>
          <w:p w14:paraId="4E686FF2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1022" w:type="dxa"/>
            <w:noWrap w:val="0"/>
            <w:vAlign w:val="center"/>
          </w:tcPr>
          <w:p w14:paraId="6B5AB8B7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奖补金额</w:t>
            </w:r>
          </w:p>
          <w:p w14:paraId="255BC741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3118" w:type="dxa"/>
            <w:noWrap w:val="0"/>
            <w:vAlign w:val="center"/>
          </w:tcPr>
          <w:p w14:paraId="6EE16587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建设内容</w:t>
            </w:r>
          </w:p>
        </w:tc>
        <w:tc>
          <w:tcPr>
            <w:tcW w:w="941" w:type="dxa"/>
            <w:noWrap w:val="0"/>
            <w:vAlign w:val="center"/>
          </w:tcPr>
          <w:p w14:paraId="43B4E93F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建设周期</w:t>
            </w:r>
          </w:p>
        </w:tc>
        <w:tc>
          <w:tcPr>
            <w:tcW w:w="3118" w:type="dxa"/>
            <w:noWrap w:val="0"/>
            <w:vAlign w:val="center"/>
          </w:tcPr>
          <w:p w14:paraId="65023C7C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实现功能</w:t>
            </w:r>
          </w:p>
        </w:tc>
      </w:tr>
      <w:tr w14:paraId="621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noWrap w:val="0"/>
            <w:vAlign w:val="center"/>
          </w:tcPr>
          <w:p w14:paraId="57DE6D7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4C18312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6E087C8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48650C5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县乡集贸市场改造项目</w:t>
            </w:r>
          </w:p>
        </w:tc>
        <w:tc>
          <w:tcPr>
            <w:tcW w:w="655" w:type="dxa"/>
            <w:noWrap w:val="0"/>
            <w:vAlign w:val="center"/>
          </w:tcPr>
          <w:p w14:paraId="2825303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改造</w:t>
            </w:r>
          </w:p>
        </w:tc>
        <w:tc>
          <w:tcPr>
            <w:tcW w:w="709" w:type="dxa"/>
            <w:noWrap w:val="0"/>
            <w:vAlign w:val="center"/>
          </w:tcPr>
          <w:p w14:paraId="62D490A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2F9BD4D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150</w:t>
            </w:r>
          </w:p>
        </w:tc>
        <w:tc>
          <w:tcPr>
            <w:tcW w:w="1022" w:type="dxa"/>
            <w:noWrap w:val="0"/>
            <w:vAlign w:val="center"/>
          </w:tcPr>
          <w:p w14:paraId="3D83ABC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150</w:t>
            </w:r>
          </w:p>
        </w:tc>
        <w:tc>
          <w:tcPr>
            <w:tcW w:w="3118" w:type="dxa"/>
            <w:noWrap w:val="0"/>
            <w:vAlign w:val="center"/>
          </w:tcPr>
          <w:p w14:paraId="0BF6E99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支持购置相应设备设施，对有关交易场地进行相应改造等建设改造内容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941" w:type="dxa"/>
            <w:noWrap w:val="0"/>
            <w:vAlign w:val="center"/>
          </w:tcPr>
          <w:p w14:paraId="0EC3202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67DAF567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开展菜农直供直销、居民捎带采购，满足居民个性化、便利化消费需求，为脱贫户农产品销售提供公益服务。</w:t>
            </w:r>
          </w:p>
        </w:tc>
      </w:tr>
      <w:tr w14:paraId="764C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noWrap w:val="0"/>
            <w:vAlign w:val="center"/>
          </w:tcPr>
          <w:p w14:paraId="43286F4A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13" w:type="dxa"/>
            <w:noWrap w:val="0"/>
            <w:vAlign w:val="center"/>
          </w:tcPr>
          <w:p w14:paraId="3B4FD44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2025</w:t>
            </w:r>
          </w:p>
        </w:tc>
        <w:tc>
          <w:tcPr>
            <w:tcW w:w="955" w:type="dxa"/>
            <w:noWrap w:val="0"/>
            <w:vAlign w:val="center"/>
          </w:tcPr>
          <w:p w14:paraId="29625C09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362E027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农产品商品化预处理中心建设</w:t>
            </w:r>
          </w:p>
        </w:tc>
        <w:tc>
          <w:tcPr>
            <w:tcW w:w="655" w:type="dxa"/>
            <w:noWrap w:val="0"/>
            <w:vAlign w:val="center"/>
          </w:tcPr>
          <w:p w14:paraId="6D2F6C3F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改造</w:t>
            </w:r>
          </w:p>
        </w:tc>
        <w:tc>
          <w:tcPr>
            <w:tcW w:w="709" w:type="dxa"/>
            <w:noWrap w:val="0"/>
            <w:vAlign w:val="center"/>
          </w:tcPr>
          <w:p w14:paraId="7F99B00C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16FE469F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340</w:t>
            </w:r>
          </w:p>
        </w:tc>
        <w:tc>
          <w:tcPr>
            <w:tcW w:w="1022" w:type="dxa"/>
            <w:noWrap w:val="0"/>
            <w:vAlign w:val="center"/>
          </w:tcPr>
          <w:p w14:paraId="2561323C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/>
              </w:rPr>
              <w:t>170</w:t>
            </w:r>
          </w:p>
        </w:tc>
        <w:tc>
          <w:tcPr>
            <w:tcW w:w="3118" w:type="dxa"/>
            <w:noWrap w:val="0"/>
            <w:vAlign w:val="center"/>
          </w:tcPr>
          <w:p w14:paraId="2F3F55AD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eastAsia="zh-CN"/>
              </w:rPr>
              <w:t>人参或其它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农产品商品化预处理中心重点支持作业场地建设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改造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、服务功能升级两类改造项目。其中，作业场地改造，中央财政补助资金主要补助室内简易装修、实现不同商品和服务类型分区作业；对仓库进行冷藏及通风储藏改造；根据消防安全、防淹排水等有关要求对地面进行硬化改造，配备消防安全、污水处理等相关的设施。服务功能升级，主要补助购买电脑、打印机、装卸等设备设施；配备中（小）型清洗机、烘干机、打包机、粉碎机、真空塑封机等初级人参或其它农产品商品化预处理设备设施；出入库数字化管理服务系统。全县范围内改造2个人参农产品商品化预处理中心。</w:t>
            </w:r>
          </w:p>
        </w:tc>
        <w:tc>
          <w:tcPr>
            <w:tcW w:w="941" w:type="dxa"/>
            <w:noWrap w:val="0"/>
            <w:vAlign w:val="center"/>
          </w:tcPr>
          <w:p w14:paraId="20E9BF01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44E9C081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提高本地农产品品牌化、商品化水平，增强农产品上行动能，扩大上行规模，带动脱贫户增收就业</w:t>
            </w:r>
          </w:p>
        </w:tc>
      </w:tr>
      <w:tr w14:paraId="1742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7CDE205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13" w:type="dxa"/>
            <w:noWrap w:val="0"/>
            <w:vAlign w:val="center"/>
          </w:tcPr>
          <w:p w14:paraId="2C4C83C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43396B16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505960A5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通化县人参及其它农产品上行项目</w:t>
            </w:r>
          </w:p>
        </w:tc>
        <w:tc>
          <w:tcPr>
            <w:tcW w:w="655" w:type="dxa"/>
            <w:noWrap w:val="0"/>
            <w:vAlign w:val="center"/>
          </w:tcPr>
          <w:p w14:paraId="429229C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709" w:type="dxa"/>
            <w:noWrap w:val="0"/>
            <w:vAlign w:val="center"/>
          </w:tcPr>
          <w:p w14:paraId="2B7CEB94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455D412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1022" w:type="dxa"/>
            <w:noWrap w:val="0"/>
            <w:vAlign w:val="center"/>
          </w:tcPr>
          <w:p w14:paraId="0EAE259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3118" w:type="dxa"/>
            <w:noWrap w:val="0"/>
            <w:vAlign w:val="center"/>
          </w:tcPr>
          <w:p w14:paraId="531BC58A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品牌体系建设，主要建设内容为以通化县6个农产品优势产业开展品牌建设，发展六香通化农产品产业（酒香、米香、谷香、药香、林香、参香），拍摄6个产业农产品品牌宣传片，印刷宣传手册，设计品牌包装，采用OEM方式打造县域公共品牌产品；渠道体系建设，主要建设内容为在长春欧亚卖场组织1场通化县县域商业建设行动县域公共品牌及产品发布展销会，组织本地农产品企业参加7场国内具有影响力的农产品产销对接会。</w:t>
            </w:r>
          </w:p>
        </w:tc>
        <w:tc>
          <w:tcPr>
            <w:tcW w:w="941" w:type="dxa"/>
            <w:noWrap w:val="0"/>
            <w:vAlign w:val="center"/>
          </w:tcPr>
          <w:p w14:paraId="1B602F3E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46870A4B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提高本地农产品品牌化、商品化水平，增强农产品上行动能，扩大上行规模，带动脱贫户增收就业</w:t>
            </w:r>
          </w:p>
        </w:tc>
      </w:tr>
      <w:tr w14:paraId="0427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498" w:type="dxa"/>
            <w:noWrap w:val="0"/>
            <w:vAlign w:val="center"/>
          </w:tcPr>
          <w:p w14:paraId="7BB499A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613" w:type="dxa"/>
            <w:noWrap w:val="0"/>
            <w:vAlign w:val="center"/>
          </w:tcPr>
          <w:p w14:paraId="3D266AB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2E0A02EE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73D3AF6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传统企业转型升级</w:t>
            </w:r>
          </w:p>
        </w:tc>
        <w:tc>
          <w:tcPr>
            <w:tcW w:w="655" w:type="dxa"/>
            <w:noWrap w:val="0"/>
            <w:vAlign w:val="center"/>
          </w:tcPr>
          <w:p w14:paraId="584A7105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改造</w:t>
            </w:r>
          </w:p>
        </w:tc>
        <w:tc>
          <w:tcPr>
            <w:tcW w:w="709" w:type="dxa"/>
            <w:noWrap w:val="0"/>
            <w:vAlign w:val="center"/>
          </w:tcPr>
          <w:p w14:paraId="538D6ABD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047EA1A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022" w:type="dxa"/>
            <w:noWrap w:val="0"/>
            <w:vAlign w:val="center"/>
          </w:tcPr>
          <w:p w14:paraId="6AF08E85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 w14:paraId="29162CFE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主要补助配备数字化触摸查询一体机、智能自动售货机、二维码等人参品牌产品链接数字化幕墙、简易人参样品展柜（详见附件1）等。其中，数字化人参销售专区（柜）配备的触摸查询一体机的查询内容应包括但不限于人参宣传片，与人参相关的检验检测信息，淘天、京东、拼多多等平台网店销售的省内人参品牌产品等信息。</w:t>
            </w:r>
          </w:p>
        </w:tc>
        <w:tc>
          <w:tcPr>
            <w:tcW w:w="941" w:type="dxa"/>
            <w:noWrap w:val="0"/>
            <w:vAlign w:val="center"/>
          </w:tcPr>
          <w:p w14:paraId="2830D576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1E3BF07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引导农村邮政、供销、电商、商贸流通企业从传统批发、零售向综合性服务转变，整合购物、订餐、家政、职介、租赁、同城配送等服务，提高社区、村镇生活服务的便捷性和服务质量。引导商贸流通、电子商务、生活服务业与现代农业、乡村旅游、加工制造业等特色产业跨界融合，增强服务业推动生产、促进流通、扩大消费的功能</w:t>
            </w:r>
          </w:p>
          <w:p w14:paraId="2B8B108D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5A4F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793" w:type="dxa"/>
            <w:gridSpan w:val="6"/>
            <w:noWrap w:val="0"/>
            <w:vAlign w:val="center"/>
          </w:tcPr>
          <w:p w14:paraId="5B13EB44">
            <w:pPr>
              <w:widowControl/>
              <w:jc w:val="center"/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996" w:type="dxa"/>
            <w:noWrap w:val="0"/>
            <w:vAlign w:val="center"/>
          </w:tcPr>
          <w:p w14:paraId="3155908B">
            <w:pPr>
              <w:widowControl/>
              <w:jc w:val="center"/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600</w:t>
            </w:r>
          </w:p>
        </w:tc>
        <w:tc>
          <w:tcPr>
            <w:tcW w:w="1022" w:type="dxa"/>
            <w:noWrap w:val="0"/>
            <w:vAlign w:val="center"/>
          </w:tcPr>
          <w:p w14:paraId="48A2EB4C">
            <w:pPr>
              <w:widowControl/>
              <w:jc w:val="center"/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rFonts w:hint="eastAsia" w:ascii="Calibri" w:eastAsia="宋体"/>
                <w:color w:val="000000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3118" w:type="dxa"/>
            <w:noWrap w:val="0"/>
            <w:vAlign w:val="top"/>
          </w:tcPr>
          <w:p w14:paraId="5B37044C">
            <w:pPr>
              <w:pStyle w:val="2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941" w:type="dxa"/>
            <w:noWrap w:val="0"/>
            <w:vAlign w:val="top"/>
          </w:tcPr>
          <w:p w14:paraId="333CD1D7">
            <w:pPr>
              <w:pStyle w:val="2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118" w:type="dxa"/>
            <w:noWrap w:val="0"/>
            <w:vAlign w:val="top"/>
          </w:tcPr>
          <w:p w14:paraId="64B2B909">
            <w:pPr>
              <w:pStyle w:val="2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</w:tbl>
    <w:p w14:paraId="176737F7">
      <w:pPr>
        <w:pStyle w:val="2"/>
        <w:ind w:left="0" w:leftChars="0" w:firstLine="0" w:firstLineChars="0"/>
        <w:rPr>
          <w:rFonts w:hint="eastAsia"/>
        </w:rPr>
        <w:sectPr>
          <w:pgSz w:w="16838" w:h="11906" w:orient="landscape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7826FEA5"/>
    <w:sectPr>
      <w:footerReference r:id="rId3" w:type="default"/>
      <w:pgSz w:w="11906" w:h="16838"/>
      <w:pgMar w:top="1474" w:right="1984" w:bottom="1587" w:left="2098" w:header="851" w:footer="1587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3661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B0D73">
                          <w:pPr>
                            <w:pStyle w:val="4"/>
                            <w:ind w:right="210" w:rightChars="100" w:firstLine="280" w:firstLineChars="100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B0D73">
                    <w:pPr>
                      <w:pStyle w:val="4"/>
                      <w:ind w:right="210" w:rightChars="100" w:firstLine="280" w:firstLineChars="100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D5E1C"/>
    <w:rsid w:val="12A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首行缩进:  2 字符"/>
    <w:basedOn w:val="3"/>
    <w:qFormat/>
    <w:uiPriority w:val="0"/>
    <w:pPr>
      <w:spacing w:line="240" w:lineRule="auto"/>
      <w:ind w:firstLine="200" w:firstLineChars="200"/>
    </w:pPr>
    <w:rPr>
      <w:rFonts w:eastAsia="黑体" w:cs="宋体"/>
      <w:b w:val="0"/>
      <w:sz w:val="3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cs="宋体"/>
      <w:kern w:val="0"/>
      <w:sz w:val="24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2025-04-21T05:46:00Z</dcterms:created>
  <dc:creator>煖煖</dc:creator>
  <cp:lastModifiedBy>煖煖</cp:lastModifiedBy>
  <dcterms:modified xsi:type="dcterms:W3CDTF">2025-04-21T05:53:13Z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71D23D370ED14159A20431E8E69FE0D8_11</vt:lpwstr>
  </property>
  <property fmtid="{D5CDD505-2E9C-101B-9397-08002B2CF9AE}" pid="4" name="KSOTemplateDocerSaveRecord">
    <vt:lpwstr>eyJoZGlkIjoiMjEzZTBlZjc2OWUxZjg5ZTliMDU5YjY2ZTQ0NzFlZjkiLCJ1c2VySWQiOiIzNDQ1NDQ1OTEifQ==</vt:lpwstr>
  </property>
</Properties>
</file>