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50</w:t>
      </w:r>
      <w:r>
        <w:rPr>
          <w:rFonts w:hint="default" w:ascii="Times New Roman" w:hAnsi="Times New Roman" w:eastAsia="仿宋_GB2312" w:cs="Times New Roman"/>
          <w:b w:val="0"/>
          <w:bCs w:val="0"/>
          <w:color w:val="000000"/>
          <w:sz w:val="32"/>
          <w:szCs w:val="32"/>
          <w:lang w:val="en-US" w:eastAsia="zh-CN"/>
        </w:rPr>
        <w:t>号</w:t>
      </w:r>
    </w:p>
    <w:p w14:paraId="52E86A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人：马</w:t>
      </w:r>
      <w:r>
        <w:rPr>
          <w:rFonts w:hint="eastAsia" w:eastAsia="仿宋_GB2312" w:cs="Times New Roman"/>
          <w:b w:val="0"/>
          <w:bCs w:val="0"/>
          <w:color w:val="000000"/>
          <w:sz w:val="32"/>
          <w:szCs w:val="32"/>
          <w:lang w:val="en-US" w:eastAsia="zh-CN"/>
        </w:rPr>
        <w:t>某某</w:t>
      </w:r>
    </w:p>
    <w:p w14:paraId="5F96F1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bookmarkStart w:id="0" w:name="_GoBack"/>
      <w:bookmarkEnd w:id="0"/>
      <w:r>
        <w:rPr>
          <w:rFonts w:hint="eastAsia" w:ascii="Times New Roman" w:hAnsi="Times New Roman" w:eastAsia="仿宋_GB2312" w:cs="Times New Roman"/>
          <w:b w:val="0"/>
          <w:bCs w:val="0"/>
          <w:color w:val="000000"/>
          <w:sz w:val="32"/>
          <w:szCs w:val="32"/>
          <w:lang w:val="en-US" w:eastAsia="zh-CN"/>
        </w:rPr>
        <w:t>被申请人：通化县市场监督管理局</w:t>
      </w:r>
    </w:p>
    <w:p w14:paraId="3C46417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申请人不服通化县市场监督管理局对投诉作出的处理决定。于2024年5月27日向通化县人民政府申请行政复议，本机关依法已予受理，现已审理终结。</w:t>
      </w:r>
    </w:p>
    <w:p w14:paraId="10B75C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申请人请求：确认被申请人投诉不予立案行政违法，责令重新作出处理决定。</w:t>
      </w:r>
    </w:p>
    <w:p w14:paraId="110F31E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申请人称：申请人在超市购买被投诉人通化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通远香肉枣肠，标注的执行标准GBT10279，质量等级为普通级，营养成分表中的蛋白质为9.9，依据执行标准GBT10279第5.2理化指标表2，要求普通级蛋白质必须大于等于(10)，被投诉人生产工艺未达到执行标准要求，因此投诉，被申请人于2024年4月18号作出回复。申请人意见如下:一：被投诉产品营养成分表肯定是经过第三方检测才印制到产品外包装的，营养成分表中的蛋白质没有达到执行标准生产工艺作为生产厂家肯定是“明知”。被投诉人是“明知”生产销售的商品不符合食品安全标准强制规定，关于“明知”依据司法解释和最高法院关于审理食品安全民事纠纷适用法律若干问题解释确认销售者是否“明知”，应以其是否履行了应尽的注意义务为标准。这种注意义务是通过法律法规和规范性文件确定的经营行为准则。是法定义务，必备能力，必须履行。还应对所销售食品是否符合国家食品安全标准尽必要的法定审查义务。关于被申请人提到的错误应当认定是被投诉人为了减少原料成本故意为之，并非印刷错处。二：依据中华人民共和国标准化法和吉林省标准管理条例，未达到执行标准要求的产品禁止生产、销售，足以说明被投诉产品不符合食品安全标准，因此被申请人在回复中认定违法轻微明显不当。三：依据国家市场监督管理局第49号令第37条第6项不属于标签瑕疵范围之内。四：被申请人未依照《中华人民共和国行政处罚法》、《中华人民共和国食品安全法》、《中华人民共和国产品质量法》等规定依法对被投诉人进行处罚。因此申请人不服，遂复议。根据党的十九大、十九届五中全会精神和习近平总书记关于食品安全系列重要讲话精神的有力举措。贯彻对食品“四个最严”的要求，把保障人民群众食品安全放在首位，是党中央的基本精神，司法解释始终贯彻和秉持这一精神，切实“民以食为天、食以安为先”，促进食品安全状况实现根本好转，不断实现人民群众对美好生活的向往。</w:t>
      </w:r>
    </w:p>
    <w:p w14:paraId="3B7E89C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w:t>
      </w:r>
    </w:p>
    <w:p w14:paraId="326B8D2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被申请人于2024年4月11日收到吉林市场监督投诉举报平台举报单（编号：1220521002024041155062876），申请人投诉：在超市购买</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生产的“熏香小肚”一个，到家后发现该商品中蛋白质未达到执行标准中的蛋白含量，不符合国家食品安全的相关法律法规，请被申请人按照国家标准予以处理。诉求内容是：赔偿损失，退赔费用，退货。收到投诉信息后，被申请人及时通知被投诉人进行调解。因被投诉人拒绝调解，市场监管部门并无责令退赔费用、赔偿损失的职权，被申请人依法终止调解程序并告知了申请人，以上行为符合《市场监督管理投诉举报处理暂行办法》的程序规定。</w:t>
      </w:r>
    </w:p>
    <w:p w14:paraId="2789D99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虽然申请人发起的只是投诉并无举报，但依据《市场监督管理投诉举报处理暂行办法》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被申请人对于投诉涉及的涉嫌线索进行了核查，根据核查情况在规定时间内作出不予立案决定。尽管在终止调解并告知投诉人后，对投诉人无需告知行政处理结果，但被申请人本着对消费者负责的态度，仍旧及时将结果告知了投诉人。</w:t>
      </w:r>
    </w:p>
    <w:p w14:paraId="30826D3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一、被申请人作出不予立案决定的事实及依据</w:t>
      </w:r>
    </w:p>
    <w:p w14:paraId="5FAA567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经核查，通化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食品有限公司生产的“熏香小肚”产品标签营养成分表中蛋白含量标注为9.9g/100g。并且标注质量等级为：普通级。按照该产品执行标准SB/T 10279的要求，标注为普通级的蛋白含量应≥10。通过查阅企业提供的产品检验报告，该产品的蛋白含量符合标注中关于普通级的要求，同时将合格产品标注为不合格产品明显有悖常理。该产品有符合标准规定的检验报告（该产品的执行标准为商业部标准而非食品安全国家标准），不影响食品安全且不会对消费者造成误导，故可以将此标签问题认定为瑕疵，且企业已经改正了该标签瑕疵行为。综上，被申请人依据《市场监督管理行政处罚程序规定》之规定，作出的不予立案决定并无不妥。</w:t>
      </w:r>
    </w:p>
    <w:p w14:paraId="465C32C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二、复议申请人非普通消费者</w:t>
      </w:r>
    </w:p>
    <w:p w14:paraId="5FBB432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经查明，该复议申请人在全国12315互联网平台共投诉131次，举报1次，有着密集的投诉举报记录，结合申请人过往投诉举报情况，判断申请人购物行为超出合理的生活消费范围，并非普通消费者。</w:t>
      </w:r>
    </w:p>
    <w:p w14:paraId="3F72F63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三、申请人对被申请人作出的不予立案决定不具备行政复议资格</w:t>
      </w:r>
    </w:p>
    <w:p w14:paraId="78D5B08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复议法实施条例》第二十八条规定，申请人与被申请复议的行政行为有“利害关系”，是申请复议的公民、法人或者其他组织具有申请人资格、复议机关应当受理其复议申请的法定条件之一。申请人虽然是消费者，但申请人要求被投诉人赔偿是民事纠纷，被申请人对投诉中涉及的违法行为作出的行政处理决定不能使申请人在之前交易中可能受侵害的权益获得救济，也不能对交易行为已完成的申请人产生新的侵害，申请人仍能通过对人民法院提起民事诉讼的方式实现其民事求偿权，故此投诉中包含违法线索的作用仅在于为市场监管部门查处违法违规行为提供线索或者证据，使未来可能的购买者避免利益受损，其保护的是不特定的社会公共利益，并非保护某个特定消费者的权益，被申请人对被投诉人作出的行政处理决定均未新增、变更、减损申请人的任何权利或义务，申请人与被申请人的行政处理决定不存在利害关系。同时依据《市场监管总局关于做好行政复议行政应诉工作的指导意见》国市监法发〔2024〕1 号文件：（七）做好行政复议与投诉举报处理工作的衔接。各级市场监管部门要按照有关规定，区分处理投诉和举报事项。对消费者向市场监管部门提出解决消费纠纷的投诉事项，市场监管部门作为第三人作出的居间调解行为，属于《行政复议法》第十二条第四项“行政机关对民事纠纷作出的调解”情形，依法不纳入行政复议范围。对于实名举报人向市场监管部门举报的违法线索，属于市场监管部门职责范围的，市场监管部门应当依法核查后将是否立案决定告知实名举报人，有特别规定的，从其特别规定；未告知的，实名举报人可以对此提起行政复议申请。实名举报人对是否立案决定、调查程序、处理结果等市场监管部门依法开展的查处行为提起行政复议，除实名举报人能够证明有利害关系之外，不属于行政复议受理范围。</w:t>
      </w:r>
    </w:p>
    <w:p w14:paraId="71F6BC3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综上所述，被申请人对申请人的投诉事项处理事实清楚、证据确凿、处理适当、程序合法，且申请人不具有复议主体资格。</w:t>
      </w:r>
    </w:p>
    <w:p w14:paraId="6E8706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经审理查明：2024年4月</w:t>
      </w:r>
      <w:r>
        <w:rPr>
          <w:rFonts w:hint="eastAsia" w:eastAsia="仿宋_GB2312" w:cs="Times New Roman"/>
          <w:b w:val="0"/>
          <w:bCs w:val="0"/>
          <w:color w:val="000000"/>
          <w:sz w:val="32"/>
          <w:szCs w:val="32"/>
          <w:lang w:val="en-US" w:eastAsia="zh-CN"/>
        </w:rPr>
        <w:t>11</w:t>
      </w:r>
      <w:r>
        <w:rPr>
          <w:rFonts w:hint="eastAsia" w:ascii="Times New Roman" w:hAnsi="Times New Roman" w:eastAsia="仿宋_GB2312" w:cs="Times New Roman"/>
          <w:b w:val="0"/>
          <w:bCs w:val="0"/>
          <w:color w:val="000000"/>
          <w:sz w:val="32"/>
          <w:szCs w:val="32"/>
          <w:lang w:val="en-US" w:eastAsia="zh-CN"/>
        </w:rPr>
        <w:t>日，申请人</w:t>
      </w:r>
      <w:r>
        <w:rPr>
          <w:rFonts w:hint="eastAsia" w:eastAsia="仿宋_GB2312" w:cs="Times New Roman"/>
          <w:b w:val="0"/>
          <w:bCs w:val="0"/>
          <w:color w:val="000000"/>
          <w:sz w:val="32"/>
          <w:szCs w:val="32"/>
          <w:lang w:val="en-US" w:eastAsia="zh-CN"/>
        </w:rPr>
        <w:t>通过12315平台</w:t>
      </w:r>
      <w:r>
        <w:rPr>
          <w:rFonts w:hint="eastAsia" w:ascii="Times New Roman" w:hAnsi="Times New Roman" w:eastAsia="仿宋_GB2312" w:cs="Times New Roman"/>
          <w:b w:val="0"/>
          <w:bCs w:val="0"/>
          <w:color w:val="000000"/>
          <w:sz w:val="32"/>
          <w:szCs w:val="32"/>
          <w:lang w:val="en-US" w:eastAsia="zh-CN"/>
        </w:rPr>
        <w:t>向被申请人</w:t>
      </w:r>
      <w:r>
        <w:rPr>
          <w:rFonts w:hint="eastAsia" w:eastAsia="仿宋_GB2312" w:cs="Times New Roman"/>
          <w:b w:val="0"/>
          <w:bCs w:val="0"/>
          <w:color w:val="000000"/>
          <w:sz w:val="32"/>
          <w:szCs w:val="32"/>
          <w:lang w:val="en-US" w:eastAsia="zh-CN"/>
        </w:rPr>
        <w:t>进行</w:t>
      </w:r>
      <w:r>
        <w:rPr>
          <w:rFonts w:hint="eastAsia" w:ascii="Times New Roman" w:hAnsi="Times New Roman" w:eastAsia="仿宋_GB2312" w:cs="Times New Roman"/>
          <w:b w:val="0"/>
          <w:bCs w:val="0"/>
          <w:color w:val="000000"/>
          <w:sz w:val="32"/>
          <w:szCs w:val="32"/>
          <w:lang w:val="en-US" w:eastAsia="zh-CN"/>
        </w:rPr>
        <w:t>投诉；</w:t>
      </w:r>
      <w:r>
        <w:rPr>
          <w:rFonts w:hint="eastAsia" w:eastAsia="仿宋_GB2312" w:cs="Times New Roman"/>
          <w:b w:val="0"/>
          <w:bCs w:val="0"/>
          <w:color w:val="000000"/>
          <w:sz w:val="32"/>
          <w:szCs w:val="32"/>
          <w:lang w:val="en-US" w:eastAsia="zh-CN"/>
        </w:rPr>
        <w:t>2024年4月18日，</w:t>
      </w:r>
      <w:r>
        <w:rPr>
          <w:rFonts w:hint="eastAsia" w:ascii="Times New Roman" w:hAnsi="Times New Roman" w:eastAsia="仿宋_GB2312" w:cs="Times New Roman"/>
          <w:b w:val="0"/>
          <w:bCs w:val="0"/>
          <w:color w:val="000000"/>
          <w:sz w:val="32"/>
          <w:szCs w:val="32"/>
          <w:lang w:val="en-US" w:eastAsia="zh-CN"/>
        </w:rPr>
        <w:t>被申请人对投诉</w:t>
      </w:r>
      <w:r>
        <w:rPr>
          <w:rFonts w:hint="eastAsia" w:eastAsia="仿宋_GB2312" w:cs="Times New Roman"/>
          <w:b w:val="0"/>
          <w:bCs w:val="0"/>
          <w:color w:val="000000"/>
          <w:sz w:val="32"/>
          <w:szCs w:val="32"/>
          <w:lang w:val="en-US" w:eastAsia="zh-CN"/>
        </w:rPr>
        <w:t>进行了受理，并告知申请人，同时</w:t>
      </w:r>
      <w:r>
        <w:rPr>
          <w:rFonts w:hint="eastAsia" w:ascii="Times New Roman" w:hAnsi="Times New Roman" w:eastAsia="仿宋_GB2312" w:cs="Times New Roman"/>
          <w:b w:val="0"/>
          <w:bCs w:val="0"/>
          <w:color w:val="000000"/>
          <w:sz w:val="32"/>
          <w:szCs w:val="32"/>
          <w:lang w:val="en-US" w:eastAsia="zh-CN"/>
        </w:rPr>
        <w:t>开展了调解工作，因</w:t>
      </w:r>
      <w:r>
        <w:rPr>
          <w:rFonts w:hint="eastAsia" w:eastAsia="仿宋_GB2312" w:cs="Times New Roman"/>
          <w:b w:val="0"/>
          <w:bCs w:val="0"/>
          <w:color w:val="000000"/>
          <w:sz w:val="32"/>
          <w:szCs w:val="32"/>
          <w:lang w:val="en-US" w:eastAsia="zh-CN"/>
        </w:rPr>
        <w:t>被诉方拒绝调解</w:t>
      </w:r>
      <w:r>
        <w:rPr>
          <w:rFonts w:hint="eastAsia" w:ascii="Times New Roman" w:hAnsi="Times New Roman" w:eastAsia="仿宋_GB2312" w:cs="Times New Roman"/>
          <w:b w:val="0"/>
          <w:bCs w:val="0"/>
          <w:color w:val="000000"/>
          <w:sz w:val="32"/>
          <w:szCs w:val="32"/>
          <w:lang w:val="en-US" w:eastAsia="zh-CN"/>
        </w:rPr>
        <w:t>，被申请人终止了调解；2024年</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月1</w:t>
      </w:r>
      <w:r>
        <w:rPr>
          <w:rFonts w:hint="eastAsia" w:eastAsia="仿宋_GB2312" w:cs="Times New Roman"/>
          <w:b w:val="0"/>
          <w:bCs w:val="0"/>
          <w:color w:val="000000"/>
          <w:sz w:val="32"/>
          <w:szCs w:val="32"/>
          <w:lang w:val="en-US" w:eastAsia="zh-CN"/>
        </w:rPr>
        <w:t>8</w:t>
      </w:r>
      <w:r>
        <w:rPr>
          <w:rFonts w:hint="eastAsia" w:ascii="Times New Roman" w:hAnsi="Times New Roman" w:eastAsia="仿宋_GB2312" w:cs="Times New Roman"/>
          <w:b w:val="0"/>
          <w:bCs w:val="0"/>
          <w:color w:val="000000"/>
          <w:sz w:val="32"/>
          <w:szCs w:val="32"/>
          <w:lang w:val="en-US" w:eastAsia="zh-CN"/>
        </w:rPr>
        <w:t>日，被申请人将</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的处理</w:t>
      </w:r>
      <w:r>
        <w:rPr>
          <w:rFonts w:hint="eastAsia" w:eastAsia="仿宋_GB2312" w:cs="Times New Roman"/>
          <w:b w:val="0"/>
          <w:bCs w:val="0"/>
          <w:color w:val="000000"/>
          <w:sz w:val="32"/>
          <w:szCs w:val="32"/>
          <w:lang w:val="en-US" w:eastAsia="zh-CN"/>
        </w:rPr>
        <w:t>结果通过平台告知</w:t>
      </w:r>
      <w:r>
        <w:rPr>
          <w:rFonts w:hint="eastAsia" w:ascii="Times New Roman" w:hAnsi="Times New Roman" w:eastAsia="仿宋_GB2312" w:cs="Times New Roman"/>
          <w:b w:val="0"/>
          <w:bCs w:val="0"/>
          <w:color w:val="000000"/>
          <w:sz w:val="32"/>
          <w:szCs w:val="32"/>
          <w:lang w:val="en-US" w:eastAsia="zh-CN"/>
        </w:rPr>
        <w:t>申请人；2024年5月27日，申请人不服被申请人对投诉举报作出的处理决定，提起行政复议申请。</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5A077ADA">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sz w:val="32"/>
          <w:szCs w:val="32"/>
          <w:lang w:val="en-US" w:eastAsia="zh-CN"/>
        </w:rPr>
        <w:t>一、</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市场监督管理投诉举报处理暂行办法</w:t>
      </w:r>
      <w:r>
        <w:rPr>
          <w:rFonts w:hint="eastAsia" w:ascii="仿宋_GB2312" w:hAnsi="仿宋" w:eastAsia="仿宋_GB2312" w:cs="仿宋"/>
          <w:color w:val="000000" w:themeColor="text1"/>
          <w:sz w:val="32"/>
          <w:szCs w:val="32"/>
          <w:lang w:eastAsia="zh-CN"/>
          <w14:textFill>
            <w14:solidFill>
              <w14:schemeClr w14:val="tx1"/>
            </w14:solidFill>
          </w14:textFill>
        </w:rPr>
        <w:t>》第</w:t>
      </w:r>
      <w:r>
        <w:rPr>
          <w:rFonts w:hint="eastAsia" w:ascii="仿宋_GB2312" w:hAnsi="仿宋" w:eastAsia="仿宋_GB2312" w:cs="仿宋"/>
          <w:color w:val="000000" w:themeColor="text1"/>
          <w:sz w:val="32"/>
          <w:szCs w:val="32"/>
          <w:lang w:val="en-US" w:eastAsia="zh-CN"/>
          <w14:textFill>
            <w14:solidFill>
              <w14:schemeClr w14:val="tx1"/>
            </w14:solidFill>
          </w14:textFill>
        </w:rPr>
        <w:t>四</w:t>
      </w:r>
      <w:r>
        <w:rPr>
          <w:rFonts w:hint="eastAsia" w:ascii="仿宋_GB2312" w:hAnsi="仿宋" w:eastAsia="仿宋_GB2312" w:cs="仿宋"/>
          <w:color w:val="000000" w:themeColor="text1"/>
          <w:sz w:val="32"/>
          <w:szCs w:val="32"/>
          <w:lang w:eastAsia="zh-CN"/>
          <w14:textFill>
            <w14:solidFill>
              <w14:schemeClr w14:val="tx1"/>
            </w14:solidFill>
          </w14:textFill>
        </w:rPr>
        <w:t>条规定：“县级以上地方市场监督管理部门负责本行政区域内的投诉举报处理工作”；第十四条规定：“具有本办法规定的处理权限的市场监督管理部门，应当自收到投诉之日起七个工作日内作出受理或者不予受理的决定，并告知投诉人”；第二十一条规定：“有下列情形之一的，终止调解：......（四）经组织调解，投诉人或者被投诉人明确表示无法达成调解协议的”。根据上述规定，</w:t>
      </w:r>
      <w:r>
        <w:rPr>
          <w:rFonts w:hint="eastAsia" w:ascii="仿宋_GB2312" w:hAnsi="仿宋" w:eastAsia="仿宋_GB2312" w:cs="仿宋"/>
          <w:color w:val="000000" w:themeColor="text1"/>
          <w:sz w:val="32"/>
          <w:szCs w:val="32"/>
          <w:lang w:val="en-US" w:eastAsia="zh-CN"/>
          <w14:textFill>
            <w14:solidFill>
              <w14:schemeClr w14:val="tx1"/>
            </w14:solidFill>
          </w14:textFill>
        </w:rPr>
        <w:t>被申请人已履行了受理、告知的程序，并开展了调查工作，对该投诉也进行了调解，因此被申请人履行了法定职责，</w:t>
      </w:r>
      <w:r>
        <w:rPr>
          <w:rFonts w:hint="eastAsia" w:ascii="仿宋_GB2312" w:hAnsi="仿宋" w:eastAsia="仿宋_GB2312" w:cs="仿宋"/>
          <w:color w:val="000000" w:themeColor="text1"/>
          <w:sz w:val="32"/>
          <w:szCs w:val="32"/>
          <w:lang w:eastAsia="zh-CN"/>
          <w14:textFill>
            <w14:solidFill>
              <w14:schemeClr w14:val="tx1"/>
            </w14:solidFill>
          </w14:textFill>
        </w:rPr>
        <w:t>符合法律规定。</w:t>
      </w:r>
    </w:p>
    <w:p w14:paraId="069DF5D5">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sz w:val="32"/>
          <w:szCs w:val="32"/>
          <w:lang w:val="en-US" w:eastAsia="zh-CN"/>
        </w:rPr>
        <w:t>二、</w:t>
      </w:r>
      <w:r>
        <w:rPr>
          <w:rFonts w:hint="eastAsia" w:ascii="仿宋" w:hAnsi="仿宋" w:eastAsia="仿宋" w:cs="仿宋"/>
          <w:color w:val="000000" w:themeColor="text1"/>
          <w:sz w:val="32"/>
          <w:szCs w:val="32"/>
          <w:lang w:val="en-US" w:eastAsia="zh-CN"/>
          <w14:textFill>
            <w14:solidFill>
              <w14:schemeClr w14:val="tx1"/>
            </w14:solidFill>
          </w14:textFill>
        </w:rPr>
        <w:t>根据《市场监督管理行政处罚程序规定》第二十条第一款规定，经核查，有下列情形之一的，可以不予立案：（一）违法行为轻微并及时改正，没有造成危害后果；（二）初次违法且危害后果轻微并及时改正；（三）当事人有证据足以证明没有主观过错，但法律、行政法规另有规定的除外；（四）依法可以不予立案的其他情形。本案中，被申请人收到申请人的投诉后，进行了现场核查，发现被投诉人在产品标签方面确有瑕疵，被投诉人立即整改，已经对标签进行了更换，并且未对申请人造成危害后果，被申请人据此作出不予立案决定，并及时告知申请人，被申请人的不予立案决定及投诉举报告知并无不当。</w:t>
      </w:r>
    </w:p>
    <w:p w14:paraId="70CE1D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维持被申请人对举报作出不予立案的处理决定。</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二〇二四年八月十</w:t>
      </w:r>
      <w:r>
        <w:rPr>
          <w:rFonts w:hint="eastAsia" w:eastAsia="仿宋_GB2312" w:cs="Times New Roman"/>
          <w:b w:val="0"/>
          <w:bCs w:val="0"/>
          <w:color w:val="000000"/>
          <w:sz w:val="32"/>
          <w:szCs w:val="32"/>
          <w:lang w:val="en-US" w:eastAsia="zh-CN"/>
        </w:rPr>
        <w:t>六</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06F75AD"/>
    <w:rsid w:val="0199609C"/>
    <w:rsid w:val="02C94EFC"/>
    <w:rsid w:val="02E33476"/>
    <w:rsid w:val="03674A51"/>
    <w:rsid w:val="04BE40E0"/>
    <w:rsid w:val="057E4E8F"/>
    <w:rsid w:val="05CC7438"/>
    <w:rsid w:val="087C4131"/>
    <w:rsid w:val="0C1E68A4"/>
    <w:rsid w:val="10960B84"/>
    <w:rsid w:val="10F54D75"/>
    <w:rsid w:val="13642AEC"/>
    <w:rsid w:val="13956546"/>
    <w:rsid w:val="13DC42B1"/>
    <w:rsid w:val="148A41EB"/>
    <w:rsid w:val="19856C4C"/>
    <w:rsid w:val="1C3E1D3E"/>
    <w:rsid w:val="1C727E0F"/>
    <w:rsid w:val="1CEC2B3E"/>
    <w:rsid w:val="1D1B1C28"/>
    <w:rsid w:val="246F477F"/>
    <w:rsid w:val="25B0733F"/>
    <w:rsid w:val="2813162D"/>
    <w:rsid w:val="29AD284E"/>
    <w:rsid w:val="2C043974"/>
    <w:rsid w:val="2FDE6143"/>
    <w:rsid w:val="30225346"/>
    <w:rsid w:val="326D31C6"/>
    <w:rsid w:val="337A02B8"/>
    <w:rsid w:val="349C464A"/>
    <w:rsid w:val="35382C9D"/>
    <w:rsid w:val="35C72592"/>
    <w:rsid w:val="35ED10D9"/>
    <w:rsid w:val="362905E6"/>
    <w:rsid w:val="37261FA2"/>
    <w:rsid w:val="381953F6"/>
    <w:rsid w:val="382877F5"/>
    <w:rsid w:val="3AAD6BB1"/>
    <w:rsid w:val="3AC718F1"/>
    <w:rsid w:val="3C4D19AE"/>
    <w:rsid w:val="3F060714"/>
    <w:rsid w:val="42A617C8"/>
    <w:rsid w:val="45433878"/>
    <w:rsid w:val="4BA8021E"/>
    <w:rsid w:val="4C5D0A13"/>
    <w:rsid w:val="4CDD5875"/>
    <w:rsid w:val="52D30AFD"/>
    <w:rsid w:val="52E64215"/>
    <w:rsid w:val="56B33D02"/>
    <w:rsid w:val="58C53C0D"/>
    <w:rsid w:val="598F29D8"/>
    <w:rsid w:val="5BA426E1"/>
    <w:rsid w:val="5C0F6FB7"/>
    <w:rsid w:val="5C887B1D"/>
    <w:rsid w:val="5CBB3FA3"/>
    <w:rsid w:val="5DA853E8"/>
    <w:rsid w:val="5DEC7A21"/>
    <w:rsid w:val="5ED26DE0"/>
    <w:rsid w:val="5F930B54"/>
    <w:rsid w:val="60E938C6"/>
    <w:rsid w:val="64093C6C"/>
    <w:rsid w:val="645B2E95"/>
    <w:rsid w:val="65622202"/>
    <w:rsid w:val="69510DCD"/>
    <w:rsid w:val="6C5A2D68"/>
    <w:rsid w:val="709C542C"/>
    <w:rsid w:val="775D5288"/>
    <w:rsid w:val="7AF54B3B"/>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3502</Words>
  <Characters>3625</Characters>
  <Lines>0</Lines>
  <Paragraphs>0</Paragraphs>
  <TotalTime>1</TotalTime>
  <ScaleCrop>false</ScaleCrop>
  <LinksUpToDate>false</LinksUpToDate>
  <CharactersWithSpaces>3704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