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DDEAE">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94E92C0">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94E92C0">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1F33E71A">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424DB627">
      <w:pPr>
        <w:spacing w:line="300" w:lineRule="exact"/>
        <w:jc w:val="center"/>
        <w:rPr>
          <w:rFonts w:hint="eastAsia" w:ascii="方正小标宋简体" w:eastAsia="方正小标宋简体"/>
          <w:sz w:val="44"/>
          <w:szCs w:val="44"/>
        </w:rPr>
      </w:pPr>
    </w:p>
    <w:p w14:paraId="318338E0">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1A859E21">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216A8A44">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40</w:t>
      </w:r>
      <w:r>
        <w:rPr>
          <w:rFonts w:hint="default" w:ascii="Times New Roman" w:hAnsi="Times New Roman" w:eastAsia="仿宋_GB2312" w:cs="Times New Roman"/>
          <w:b w:val="0"/>
          <w:bCs w:val="0"/>
          <w:color w:val="000000"/>
          <w:sz w:val="32"/>
          <w:szCs w:val="32"/>
          <w:lang w:val="en-US" w:eastAsia="zh-CN"/>
        </w:rPr>
        <w:t>号</w:t>
      </w:r>
    </w:p>
    <w:p w14:paraId="3EC0F956">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周某</w:t>
      </w:r>
    </w:p>
    <w:p w14:paraId="49216496">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bookmarkStart w:id="0" w:name="_GoBack"/>
      <w:bookmarkEnd w:id="0"/>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0AFF866D">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1F62EE97">
      <w:pPr>
        <w:spacing w:after="0" w:line="576" w:lineRule="exact"/>
        <w:ind w:firstLine="512"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w w:val="80"/>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不服</w:t>
      </w:r>
      <w:r>
        <w:rPr>
          <w:rFonts w:hint="eastAsia" w:ascii="仿宋_GB2312" w:hAnsi="仿宋" w:eastAsia="仿宋_GB2312" w:cs="仿宋"/>
          <w:color w:val="000000" w:themeColor="text1"/>
          <w:sz w:val="32"/>
          <w:szCs w:val="32"/>
          <w14:textFill>
            <w14:solidFill>
              <w14:schemeClr w14:val="tx1"/>
            </w14:solidFill>
          </w14:textFill>
        </w:rPr>
        <w:t>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9</w:t>
      </w:r>
      <w:r>
        <w:rPr>
          <w:rFonts w:hint="eastAsia" w:ascii="仿宋_GB2312" w:hAnsi="仿宋" w:eastAsia="仿宋_GB2312" w:cs="仿宋"/>
          <w:color w:val="000000" w:themeColor="text1"/>
          <w:sz w:val="32"/>
          <w:szCs w:val="32"/>
          <w14:textFill>
            <w14:solidFill>
              <w14:schemeClr w14:val="tx1"/>
            </w14:solidFill>
          </w14:textFill>
        </w:rPr>
        <w:t>日向通化县人民政府申请行政复议，本机关依法已予受理，现已审理终结。</w:t>
      </w:r>
    </w:p>
    <w:p w14:paraId="3C91F556">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申请人请求：撤销通化县市场监督管理局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对举报作出的不予立案的处理决定，并责令重新作出处理决定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53F91A5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申请人称：申请人于2023年12月11日在拼多多店铺，支付花费28.52元购买网店标题宣称“长白山人参”一份，商家通过申通快递发出，于202</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年12月14日签收。打开使用，发现问题后，于2024年2月27日在12315平台进行举报。</w:t>
      </w:r>
    </w:p>
    <w:p w14:paraId="1B68FF09">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2024年3月19日申请人于被申请人在全国12315平台（www.12315.cn）的举报告知书，得知已经结案，理由：详见附件。申请人收到</w:t>
      </w:r>
      <w:r>
        <w:rPr>
          <w:rFonts w:hint="eastAsia" w:ascii="仿宋_GB2312" w:hAnsi="仿宋" w:eastAsia="仿宋_GB2312" w:cs="仿宋"/>
          <w:color w:val="000000" w:themeColor="text1"/>
          <w:sz w:val="32"/>
          <w:szCs w:val="32"/>
          <w:lang w:val="en-US" w:eastAsia="zh-CN"/>
          <w14:textFill>
            <w14:solidFill>
              <w14:schemeClr w14:val="tx1"/>
            </w14:solidFill>
          </w14:textFill>
        </w:rPr>
        <w:t>被</w:t>
      </w:r>
      <w:r>
        <w:rPr>
          <w:rFonts w:hint="eastAsia" w:ascii="仿宋_GB2312" w:hAnsi="仿宋" w:eastAsia="仿宋_GB2312" w:cs="仿宋"/>
          <w:color w:val="000000" w:themeColor="text1"/>
          <w:sz w:val="32"/>
          <w:szCs w:val="32"/>
          <w14:textFill>
            <w14:solidFill>
              <w14:schemeClr w14:val="tx1"/>
            </w14:solidFill>
          </w14:textFill>
        </w:rPr>
        <w:t>申请人回复，不予认可</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申请人于2024年2月25日在全国12315平台实名举报商家的违法行为</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附</w:t>
      </w:r>
      <w:r>
        <w:rPr>
          <w:rFonts w:hint="eastAsia" w:ascii="仿宋_GB2312" w:hAnsi="仿宋" w:eastAsia="仿宋_GB2312" w:cs="仿宋"/>
          <w:color w:val="000000" w:themeColor="text1"/>
          <w:sz w:val="32"/>
          <w:szCs w:val="32"/>
          <w14:textFill>
            <w14:solidFill>
              <w14:schemeClr w14:val="tx1"/>
            </w14:solidFill>
          </w14:textFill>
        </w:rPr>
        <w:t>上营业执照、店铺详情、产品照片等相关图片，并对商家违法行为进行逐一列举说明。通过申请人举报时候上传的照片可以看到商家网页宣传长白山人参，为地理标志产品，而执行标准中明确规定，需要符合预包装食品相关要求。其次，被申请人并未对申请人提出的商家产品无检测报告等问题进行答复，属于主观意识上的不作为。且产品无检测报告，属于不合格产品，存在重大食品安全隐患。被申请人不予立案的行政行为，属于形式回复，未充分、全面履行国家市场监督管理总局令第2号令及总局第20令规定的充分、公平、全面、程序合法的原则属于典型形式上履行告知义务，故申请行政复议</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中华人民共和国消费者权益保护法》第八条“消费者享有知悉其购买，使用的商品或者接受的服务的真实情况的权利。消费者有权根据商品或者服务的不同情况，要求经营者提供商品的价格、产地、生产者、用途、性能、规格、等级主要成份、生产日期、有效期限、检验合格证明、使用方法说明书、售后服务或者服务的内容、规格、费用等有关情况。”《中华人民共和国行政复议法实施条例》第十七条“行政机关作出的具体行政行为对公民，法人或者其他组织的权利、义务可能产生不利影响的，应当告知其</w:t>
      </w:r>
      <w:r>
        <w:rPr>
          <w:rFonts w:hint="eastAsia" w:ascii="仿宋_GB2312" w:hAnsi="仿宋" w:eastAsia="仿宋_GB2312" w:cs="仿宋"/>
          <w:color w:val="000000" w:themeColor="text1"/>
          <w:sz w:val="32"/>
          <w:szCs w:val="32"/>
          <w:lang w:val="en-US" w:eastAsia="zh-CN"/>
          <w14:textFill>
            <w14:solidFill>
              <w14:schemeClr w14:val="tx1"/>
            </w14:solidFill>
          </w14:textFill>
        </w:rPr>
        <w:t>申请</w:t>
      </w:r>
      <w:r>
        <w:rPr>
          <w:rFonts w:hint="eastAsia" w:ascii="仿宋_GB2312" w:hAnsi="仿宋" w:eastAsia="仿宋_GB2312" w:cs="仿宋"/>
          <w:color w:val="000000" w:themeColor="text1"/>
          <w:sz w:val="32"/>
          <w:szCs w:val="32"/>
          <w14:textFill>
            <w14:solidFill>
              <w14:schemeClr w14:val="tx1"/>
            </w14:solidFill>
          </w14:textFill>
        </w:rPr>
        <w:t>行政复议的权利，行政复议机关和行政复议</w:t>
      </w:r>
      <w:r>
        <w:rPr>
          <w:rFonts w:hint="eastAsia" w:ascii="仿宋_GB2312" w:hAnsi="仿宋" w:eastAsia="仿宋_GB2312" w:cs="仿宋"/>
          <w:color w:val="000000" w:themeColor="text1"/>
          <w:sz w:val="32"/>
          <w:szCs w:val="32"/>
          <w:lang w:val="en-US" w:eastAsia="zh-CN"/>
          <w14:textFill>
            <w14:solidFill>
              <w14:schemeClr w14:val="tx1"/>
            </w14:solidFill>
          </w14:textFill>
        </w:rPr>
        <w:t>申</w:t>
      </w:r>
      <w:r>
        <w:rPr>
          <w:rFonts w:hint="eastAsia" w:ascii="仿宋_GB2312" w:hAnsi="仿宋" w:eastAsia="仿宋_GB2312" w:cs="仿宋"/>
          <w:color w:val="000000" w:themeColor="text1"/>
          <w:sz w:val="32"/>
          <w:szCs w:val="32"/>
          <w14:textFill>
            <w14:solidFill>
              <w14:schemeClr w14:val="tx1"/>
            </w14:solidFill>
          </w14:textFill>
        </w:rPr>
        <w:t>请期限。”</w:t>
      </w:r>
    </w:p>
    <w:p w14:paraId="5686CF3C">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综上所述，此被申请人的匆匆结案行政行为导致申请人购买到的不符合食品安全标准的、涉嫌虚假宣传欺诈的产品无法退货退款（由于购物平台在商家发货10天后就会自动确认收货打款给商家，商家由于申请人拆包使用不予退货退款，被申请人不予追究结案，商家更加不会办理退货退款）、食用到不符合食品安全的产品对身体健康产生的影响无法维权；损害消费者的财产权、对购买产品质量和检测报告等的知情权、身体健康权等合法权益，故此行政行为与申请人具有法律上的利害关系。被申请人未履行法定责任，申请人依据《中华人民共和国复议法》及《中华人民共和国复议法实施条例》有关规定，依法申请行政复议，请求复议机关本着合法、公正、公开、及时、便民的原则，坚持有错必纠，保障法律、法规的正确实施的原则，支持申请人的复议请求，以维护申请人的合法权益。</w:t>
      </w:r>
    </w:p>
    <w:p w14:paraId="6FDEFFF4">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申请人提供证据：1、商品实物图；2、购买截图。</w:t>
      </w:r>
    </w:p>
    <w:p w14:paraId="5CA5D23A">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被申请人称：</w:t>
      </w:r>
    </w:p>
    <w:p w14:paraId="40ECBD4E">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被申请人于2024年2月27日接到申请人的举报，申请人举报通化县XX商贸有限公司销售人参片产品，接到举报后被申请人立即开展了调查。经调查了解，申请人举报通化县XX商贸有限公司销售的产品应符合GB-7718，经被申请人执法人员查看被举报人销售的人参片产品实物，属于农产品，GB-7718为预包装食品通则，不适用于农产品。经查看产品实物，该产品通过透明塑料瓶进行简单包装，并附有农产品标签，并未发现存在申请人所述包装含有“刺鼻气味”的情况，申请人也未提供具有法律效力的证据证明所购买的产品存在质量问题。依据《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同时依据《市场监督管理投诉举报处理暂行办法》第三十一条第二款的规定：“举报人实名举报的，有处理权限的市场监督管理部门还应当自作出是否立案决定之日起五个工作日内告知举报人。”被申请人于2024年2月27日接到申请人的举报，随即进行了核查，于2024年3月18日调查完毕并作出了不予立案决定，于2024年3月19日答复申请人结果告知不予立案。</w:t>
      </w:r>
    </w:p>
    <w:p w14:paraId="76932989">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综上所述，</w:t>
      </w:r>
      <w:r>
        <w:rPr>
          <w:rFonts w:hint="eastAsia" w:ascii="仿宋_GB2312" w:hAnsi="仿宋" w:eastAsia="仿宋_GB2312" w:cs="仿宋"/>
          <w:color w:val="000000" w:themeColor="text1"/>
          <w:sz w:val="32"/>
          <w:szCs w:val="32"/>
          <w:lang w:val="en-US" w:eastAsia="zh-CN"/>
          <w14:textFill>
            <w14:solidFill>
              <w14:schemeClr w14:val="tx1"/>
            </w14:solidFill>
          </w14:textFill>
        </w:rPr>
        <w:t>被申请人</w:t>
      </w:r>
      <w:r>
        <w:rPr>
          <w:rFonts w:hint="eastAsia" w:ascii="仿宋_GB2312" w:hAnsi="仿宋" w:eastAsia="仿宋_GB2312" w:cs="仿宋"/>
          <w:color w:val="000000" w:themeColor="text1"/>
          <w:sz w:val="32"/>
          <w:szCs w:val="32"/>
          <w14:textFill>
            <w14:solidFill>
              <w14:schemeClr w14:val="tx1"/>
            </w14:solidFill>
          </w14:textFill>
        </w:rPr>
        <w:t>已经依法及时对申请人的</w:t>
      </w:r>
      <w:r>
        <w:rPr>
          <w:rFonts w:hint="eastAsia" w:ascii="仿宋_GB2312" w:hAnsi="仿宋" w:eastAsia="仿宋_GB2312" w:cs="仿宋"/>
          <w:color w:val="000000" w:themeColor="text1"/>
          <w:sz w:val="32"/>
          <w:szCs w:val="32"/>
          <w:lang w:eastAsia="zh-CN"/>
          <w14:textFill>
            <w14:solidFill>
              <w14:schemeClr w14:val="tx1"/>
            </w14:solidFill>
          </w14:textFill>
        </w:rPr>
        <w:t>举报</w:t>
      </w:r>
      <w:r>
        <w:rPr>
          <w:rFonts w:hint="eastAsia" w:ascii="仿宋_GB2312" w:hAnsi="仿宋" w:eastAsia="仿宋_GB2312" w:cs="仿宋"/>
          <w:color w:val="000000" w:themeColor="text1"/>
          <w:sz w:val="32"/>
          <w:szCs w:val="32"/>
          <w14:textFill>
            <w14:solidFill>
              <w14:schemeClr w14:val="tx1"/>
            </w14:solidFill>
          </w14:textFill>
        </w:rPr>
        <w:t>进行了</w:t>
      </w:r>
      <w:r>
        <w:rPr>
          <w:rFonts w:hint="eastAsia" w:ascii="仿宋_GB2312" w:hAnsi="仿宋" w:eastAsia="仿宋_GB2312" w:cs="仿宋"/>
          <w:color w:val="000000" w:themeColor="text1"/>
          <w:sz w:val="32"/>
          <w:szCs w:val="32"/>
          <w:lang w:eastAsia="zh-CN"/>
          <w14:textFill>
            <w14:solidFill>
              <w14:schemeClr w14:val="tx1"/>
            </w14:solidFill>
          </w14:textFill>
        </w:rPr>
        <w:t>核查</w:t>
      </w:r>
      <w:r>
        <w:rPr>
          <w:rFonts w:hint="eastAsia" w:ascii="仿宋_GB2312" w:hAnsi="仿宋" w:eastAsia="仿宋_GB2312" w:cs="仿宋"/>
          <w:color w:val="000000" w:themeColor="text1"/>
          <w:sz w:val="32"/>
          <w:szCs w:val="32"/>
          <w14:textFill>
            <w14:solidFill>
              <w14:schemeClr w14:val="tx1"/>
            </w14:solidFill>
          </w14:textFill>
        </w:rPr>
        <w:t>和答复，并且对被</w:t>
      </w:r>
      <w:r>
        <w:rPr>
          <w:rFonts w:hint="eastAsia" w:ascii="仿宋_GB2312" w:hAnsi="仿宋" w:eastAsia="仿宋_GB2312" w:cs="仿宋"/>
          <w:color w:val="000000" w:themeColor="text1"/>
          <w:sz w:val="32"/>
          <w:szCs w:val="32"/>
          <w:lang w:eastAsia="zh-CN"/>
          <w14:textFill>
            <w14:solidFill>
              <w14:schemeClr w14:val="tx1"/>
            </w14:solidFill>
          </w14:textFill>
        </w:rPr>
        <w:t>举报</w:t>
      </w:r>
      <w:r>
        <w:rPr>
          <w:rFonts w:hint="eastAsia" w:ascii="仿宋_GB2312" w:hAnsi="仿宋" w:eastAsia="仿宋_GB2312" w:cs="仿宋"/>
          <w:color w:val="000000" w:themeColor="text1"/>
          <w:sz w:val="32"/>
          <w:szCs w:val="32"/>
          <w14:textFill>
            <w14:solidFill>
              <w14:schemeClr w14:val="tx1"/>
            </w14:solidFill>
          </w14:textFill>
        </w:rPr>
        <w:t>案件的调查和处理事实清楚、答复适当，合法有效。</w:t>
      </w:r>
    </w:p>
    <w:p w14:paraId="748D835B">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经审理查明：202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2</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25</w:t>
      </w:r>
      <w:r>
        <w:rPr>
          <w:rFonts w:hint="eastAsia" w:ascii="仿宋_GB2312" w:hAnsi="仿宋" w:eastAsia="仿宋_GB2312" w:cs="仿宋"/>
          <w:color w:val="000000" w:themeColor="text1"/>
          <w:sz w:val="32"/>
          <w:szCs w:val="32"/>
          <w:lang w:eastAsia="zh-CN"/>
          <w14:textFill>
            <w14:solidFill>
              <w14:schemeClr w14:val="tx1"/>
            </w14:solidFill>
          </w14:textFill>
        </w:rPr>
        <w:t>日，申请人通过</w:t>
      </w:r>
      <w:r>
        <w:rPr>
          <w:rFonts w:hint="eastAsia" w:ascii="仿宋_GB2312" w:hAnsi="仿宋" w:eastAsia="仿宋_GB2312" w:cs="仿宋"/>
          <w:color w:val="000000" w:themeColor="text1"/>
          <w:sz w:val="32"/>
          <w:szCs w:val="32"/>
          <w:lang w:val="en-US" w:eastAsia="zh-CN"/>
          <w14:textFill>
            <w14:solidFill>
              <w14:schemeClr w14:val="tx1"/>
            </w14:solidFill>
          </w14:textFill>
        </w:rPr>
        <w:t>12315平台</w:t>
      </w:r>
      <w:r>
        <w:rPr>
          <w:rFonts w:hint="eastAsia" w:ascii="仿宋_GB2312" w:hAnsi="仿宋" w:eastAsia="仿宋_GB2312" w:cs="仿宋"/>
          <w:color w:val="000000" w:themeColor="text1"/>
          <w:sz w:val="32"/>
          <w:szCs w:val="32"/>
          <w:lang w:eastAsia="zh-CN"/>
          <w14:textFill>
            <w14:solidFill>
              <w14:schemeClr w14:val="tx1"/>
            </w14:solidFill>
          </w14:textFill>
        </w:rPr>
        <w:t>进行</w:t>
      </w:r>
      <w:r>
        <w:rPr>
          <w:rFonts w:hint="eastAsia" w:ascii="仿宋_GB2312" w:hAnsi="仿宋" w:eastAsia="仿宋_GB2312" w:cs="仿宋"/>
          <w:color w:val="000000" w:themeColor="text1"/>
          <w:sz w:val="32"/>
          <w:szCs w:val="32"/>
          <w:lang w:val="en-US" w:eastAsia="zh-CN"/>
          <w14:textFill>
            <w14:solidFill>
              <w14:schemeClr w14:val="tx1"/>
            </w14:solidFill>
          </w14:textFill>
        </w:rPr>
        <w:t>举报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随即</w:t>
      </w:r>
      <w:r>
        <w:rPr>
          <w:rFonts w:hint="eastAsia" w:ascii="仿宋_GB2312" w:hAnsi="仿宋" w:eastAsia="仿宋_GB2312" w:cs="仿宋"/>
          <w:color w:val="000000" w:themeColor="text1"/>
          <w:sz w:val="32"/>
          <w:szCs w:val="32"/>
          <w:lang w:eastAsia="zh-CN"/>
          <w14:textFill>
            <w14:solidFill>
              <w14:schemeClr w14:val="tx1"/>
            </w14:solidFill>
          </w14:textFill>
        </w:rPr>
        <w:t>被申请人开展了调查。</w:t>
      </w:r>
      <w:r>
        <w:rPr>
          <w:rFonts w:hint="eastAsia" w:ascii="仿宋_GB2312" w:hAnsi="仿宋" w:eastAsia="仿宋_GB2312" w:cs="仿宋"/>
          <w:color w:val="000000" w:themeColor="text1"/>
          <w:sz w:val="32"/>
          <w:szCs w:val="32"/>
          <w:lang w:val="en-US" w:eastAsia="zh-CN"/>
          <w14:textFill>
            <w14:solidFill>
              <w14:schemeClr w14:val="tx1"/>
            </w14:solidFill>
          </w14:textFill>
        </w:rPr>
        <w:t>2024年3月18日</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对举报</w:t>
      </w:r>
      <w:r>
        <w:rPr>
          <w:rFonts w:hint="eastAsia" w:ascii="仿宋_GB2312" w:hAnsi="仿宋" w:eastAsia="仿宋_GB2312" w:cs="仿宋"/>
          <w:color w:val="000000" w:themeColor="text1"/>
          <w:sz w:val="32"/>
          <w:szCs w:val="32"/>
          <w:lang w:eastAsia="zh-CN"/>
          <w14:textFill>
            <w14:solidFill>
              <w14:schemeClr w14:val="tx1"/>
            </w14:solidFill>
          </w14:textFill>
        </w:rPr>
        <w:t>作出了</w:t>
      </w:r>
      <w:r>
        <w:rPr>
          <w:rFonts w:hint="eastAsia" w:ascii="仿宋_GB2312" w:hAnsi="仿宋" w:eastAsia="仿宋_GB2312" w:cs="仿宋"/>
          <w:color w:val="000000" w:themeColor="text1"/>
          <w:sz w:val="32"/>
          <w:szCs w:val="32"/>
          <w:lang w:val="en-US" w:eastAsia="zh-CN"/>
          <w14:textFill>
            <w14:solidFill>
              <w14:schemeClr w14:val="tx1"/>
            </w14:solidFill>
          </w14:textFill>
        </w:rPr>
        <w:t>不予立案的</w:t>
      </w:r>
      <w:r>
        <w:rPr>
          <w:rFonts w:hint="eastAsia" w:ascii="仿宋_GB2312" w:hAnsi="仿宋" w:eastAsia="仿宋_GB2312" w:cs="仿宋"/>
          <w:color w:val="000000" w:themeColor="text1"/>
          <w:sz w:val="32"/>
          <w:szCs w:val="32"/>
          <w:lang w:eastAsia="zh-CN"/>
          <w14:textFill>
            <w14:solidFill>
              <w14:schemeClr w14:val="tx1"/>
            </w14:solidFill>
          </w14:textFill>
        </w:rPr>
        <w:t>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2024年3月19日，</w:t>
      </w:r>
      <w:r>
        <w:rPr>
          <w:rFonts w:hint="eastAsia" w:ascii="仿宋_GB2312" w:hAnsi="仿宋" w:eastAsia="仿宋_GB2312" w:cs="仿宋"/>
          <w:color w:val="000000" w:themeColor="text1"/>
          <w:sz w:val="32"/>
          <w:szCs w:val="32"/>
          <w:lang w:eastAsia="zh-CN"/>
          <w14:textFill>
            <w14:solidFill>
              <w14:schemeClr w14:val="tx1"/>
            </w14:solidFill>
          </w14:textFill>
        </w:rPr>
        <w:t>将处理结果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通过12315平台对申请人进行了告知</w:t>
      </w:r>
      <w:r>
        <w:rPr>
          <w:rFonts w:hint="eastAsia" w:ascii="仿宋_GB2312" w:hAnsi="仿宋" w:eastAsia="仿宋_GB2312" w:cs="仿宋"/>
          <w:color w:val="000000" w:themeColor="text1"/>
          <w:sz w:val="32"/>
          <w:szCs w:val="32"/>
          <w:lang w:eastAsia="zh-CN"/>
          <w14:textFill>
            <w14:solidFill>
              <w14:schemeClr w14:val="tx1"/>
            </w14:solidFill>
          </w14:textFill>
        </w:rPr>
        <w:t>。申请人不服该处理结果，于202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5</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9</w:t>
      </w:r>
      <w:r>
        <w:rPr>
          <w:rFonts w:hint="eastAsia" w:ascii="仿宋_GB2312" w:hAnsi="仿宋" w:eastAsia="仿宋_GB2312" w:cs="仿宋"/>
          <w:color w:val="000000" w:themeColor="text1"/>
          <w:sz w:val="32"/>
          <w:szCs w:val="32"/>
          <w:lang w:eastAsia="zh-CN"/>
          <w14:textFill>
            <w14:solidFill>
              <w14:schemeClr w14:val="tx1"/>
            </w14:solidFill>
          </w14:textFill>
        </w:rPr>
        <w:t>日向本机关提起了行政复议。</w:t>
      </w:r>
    </w:p>
    <w:p w14:paraId="7CA88945">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14</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6698</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仅2024年对投诉举报处理结果不服，在我县就</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4次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4A6F46B4">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本机关认为：</w:t>
      </w:r>
    </w:p>
    <w:p w14:paraId="38A55DDD">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64238BDF">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本案中，一方面申请人在全国12315平台共计进行了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14</w:t>
      </w:r>
      <w:r>
        <w:rPr>
          <w:rFonts w:hint="eastAsia" w:ascii="仿宋_GB2312" w:hAnsi="仿宋" w:eastAsia="仿宋_GB2312" w:cs="仿宋"/>
          <w:color w:val="000000" w:themeColor="text1"/>
          <w:sz w:val="32"/>
          <w:szCs w:val="32"/>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6698</w:t>
      </w:r>
      <w:r>
        <w:rPr>
          <w:rFonts w:hint="eastAsia" w:ascii="仿宋_GB2312" w:hAnsi="仿宋" w:eastAsia="仿宋_GB2312" w:cs="仿宋"/>
          <w:color w:val="000000" w:themeColor="text1"/>
          <w:sz w:val="32"/>
          <w:szCs w:val="32"/>
          <w14:textFill>
            <w14:solidFill>
              <w14:schemeClr w14:val="tx1"/>
            </w14:solidFill>
          </w14:textFill>
        </w:rPr>
        <w:t>次举报，申请人购买、使用商品的数量和投诉、举报商品的次数明显超出合理生活消费范围。</w:t>
      </w:r>
    </w:p>
    <w:p w14:paraId="174903FB">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另一方面申请人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在同一时间通过网上购物平台购买相同产品，对购买产品都提出举报，仅2024年对举报处理结果不服，就</w:t>
      </w:r>
      <w:r>
        <w:rPr>
          <w:rFonts w:hint="eastAsia" w:ascii="仿宋_GB2312" w:hAnsi="仿宋" w:eastAsia="仿宋_GB2312" w:cs="仿宋"/>
          <w:color w:val="000000" w:themeColor="text1"/>
          <w:sz w:val="32"/>
          <w:szCs w:val="32"/>
          <w14:textFill>
            <w14:solidFill>
              <w14:schemeClr w14:val="tx1"/>
            </w14:solidFill>
          </w14:textFill>
        </w:rPr>
        <w:t>申请</w:t>
      </w:r>
      <w:r>
        <w:rPr>
          <w:rFonts w:hint="eastAsia" w:ascii="仿宋_GB2312" w:hAnsi="仿宋" w:eastAsia="仿宋_GB2312" w:cs="仿宋"/>
          <w:color w:val="000000" w:themeColor="text1"/>
          <w:sz w:val="32"/>
          <w:szCs w:val="32"/>
          <w:lang w:val="en-US" w:eastAsia="zh-CN"/>
          <w14:textFill>
            <w14:solidFill>
              <w14:schemeClr w14:val="tx1"/>
            </w14:solidFill>
          </w14:textFill>
        </w:rPr>
        <w:t>4次</w:t>
      </w:r>
      <w:r>
        <w:rPr>
          <w:rFonts w:hint="eastAsia" w:ascii="仿宋_GB2312" w:hAnsi="仿宋" w:eastAsia="仿宋_GB2312" w:cs="仿宋"/>
          <w:color w:val="000000" w:themeColor="text1"/>
          <w:sz w:val="32"/>
          <w:szCs w:val="32"/>
          <w14:textFill>
            <w14:solidFill>
              <w14:schemeClr w14:val="tx1"/>
            </w14:solidFill>
          </w14:textFill>
        </w:rPr>
        <w:t>行政复议。申请人投诉举报内容高度一致，表格化，模板化。申请人针对同行业经营者反复购买相同或相似的商品，并以相同或相似商品为标的物分别提起投诉举报，此行为与一般消费者明显有别。</w:t>
      </w:r>
    </w:p>
    <w:p w14:paraId="27BB4AAB">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机关认为，本案中申请人的购物行为不具备一般购物行为中的为了消费的正当目的性，结合申请人之前的大量投诉举报行为，申请人并非为生活消费需要而购买商品，不属于为维护自身合法权益向行政机关投诉举报，故其投诉举报的目的也不宜认定为维护自身合法权益，其不服被申请人不予立案的处理结果而向我机关申请行政复议，不符合法律规定的“与行政行为有利害关系”。</w:t>
      </w:r>
    </w:p>
    <w:p w14:paraId="40ECE9BA">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综上，根据《中华人民共和国行政复议法</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第六十九条、</w:t>
      </w:r>
      <w:r>
        <w:rPr>
          <w:rFonts w:hint="eastAsia" w:ascii="仿宋_GB2312" w:hAnsi="仿宋" w:eastAsia="仿宋_GB2312" w:cs="仿宋"/>
          <w:color w:val="000000" w:themeColor="text1"/>
          <w:sz w:val="32"/>
          <w:szCs w:val="32"/>
          <w14:textFill>
            <w14:solidFill>
              <w14:schemeClr w14:val="tx1"/>
            </w14:solidFill>
          </w14:textFill>
        </w:rPr>
        <w:t>《中华人民共和国行政复议法实施条例》第四十八条第一款第（一）项的规定，本机关决定如下：</w:t>
      </w:r>
    </w:p>
    <w:p w14:paraId="33871380">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驳回申请人的行政复议申请。</w:t>
      </w:r>
    </w:p>
    <w:p w14:paraId="006DBC1D">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本复议决定书一经送达，即发生法律效力。申请人如不服本决定，可自收到本复议决定书之日起15日内向人民法院提起诉讼。</w:t>
      </w:r>
    </w:p>
    <w:p w14:paraId="04FD448D">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通化县人民政府</w:t>
      </w:r>
    </w:p>
    <w:p w14:paraId="1064E5B1">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二〇二四年七月五日</w:t>
      </w:r>
    </w:p>
    <w:p w14:paraId="5E28F3F8"/>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B35B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DAF1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8DAF1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F76D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87C4131"/>
    <w:rsid w:val="10960B84"/>
    <w:rsid w:val="183D3B82"/>
    <w:rsid w:val="19856C4C"/>
    <w:rsid w:val="1C3E1D3E"/>
    <w:rsid w:val="246F477F"/>
    <w:rsid w:val="30225346"/>
    <w:rsid w:val="326D31C6"/>
    <w:rsid w:val="337A02B8"/>
    <w:rsid w:val="362905E6"/>
    <w:rsid w:val="37261FA2"/>
    <w:rsid w:val="3AF721AC"/>
    <w:rsid w:val="4128526F"/>
    <w:rsid w:val="52E64215"/>
    <w:rsid w:val="588F4780"/>
    <w:rsid w:val="58C53C0D"/>
    <w:rsid w:val="598F29D8"/>
    <w:rsid w:val="5BE17B87"/>
    <w:rsid w:val="5C0F6FB7"/>
    <w:rsid w:val="5DBB3E7F"/>
    <w:rsid w:val="5DEC7A21"/>
    <w:rsid w:val="5F930B54"/>
    <w:rsid w:val="65622202"/>
    <w:rsid w:val="775D5288"/>
    <w:rsid w:val="78BB6AA4"/>
    <w:rsid w:val="7A180FED"/>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3074</Words>
  <Characters>3212</Characters>
  <Lines>0</Lines>
  <Paragraphs>0</Paragraphs>
  <TotalTime>1</TotalTime>
  <ScaleCrop>false</ScaleCrop>
  <LinksUpToDate>false</LinksUpToDate>
  <CharactersWithSpaces>3287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2026-03-24T02:54:03Z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