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23D83">
      <w:pPr>
        <w:jc w:val="center"/>
        <w:rPr>
          <w:rFonts w:hint="eastAsia"/>
          <w:b/>
          <w:sz w:val="80"/>
          <w:szCs w:val="80"/>
          <w:lang w:val="en-US" w:eastAsia="zh-CN"/>
        </w:rPr>
      </w:pPr>
    </w:p>
    <w:p w14:paraId="5334226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E7BB4AE">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E7BB4AE">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14B5E136">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5F1961BC">
      <w:pPr>
        <w:spacing w:line="300" w:lineRule="exact"/>
        <w:jc w:val="center"/>
        <w:rPr>
          <w:rFonts w:hint="eastAsia" w:ascii="方正小标宋简体" w:eastAsia="方正小标宋简体"/>
          <w:sz w:val="44"/>
          <w:szCs w:val="44"/>
        </w:rPr>
      </w:pPr>
    </w:p>
    <w:p w14:paraId="4BE988E5">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22E7D37E">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DDC1992">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12</w:t>
      </w:r>
      <w:r>
        <w:rPr>
          <w:rFonts w:hint="default" w:ascii="Times New Roman" w:hAnsi="Times New Roman" w:eastAsia="仿宋_GB2312" w:cs="Times New Roman"/>
          <w:b w:val="0"/>
          <w:bCs w:val="0"/>
          <w:color w:val="000000"/>
          <w:sz w:val="32"/>
          <w:szCs w:val="32"/>
          <w:lang w:val="en-US" w:eastAsia="zh-CN"/>
        </w:rPr>
        <w:t>号</w:t>
      </w:r>
    </w:p>
    <w:p w14:paraId="336FE020">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王某</w:t>
      </w:r>
    </w:p>
    <w:p w14:paraId="42547ABB">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0671C5E2">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38839525">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19</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58424188">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申请人请求：撤销通化县市场监督管理局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对举报作出的不予立案的处理决定，并责令重新作出处理决定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3396D84A">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申请人称：申请人于2023</w:t>
      </w:r>
      <w:r>
        <w:rPr>
          <w:rFonts w:hint="eastAsia" w:ascii="仿宋_GB2312" w:hAnsi="仿宋" w:eastAsia="仿宋_GB2312" w:cs="仿宋"/>
          <w:color w:val="000000" w:themeColor="text1"/>
          <w:sz w:val="32"/>
          <w:szCs w:val="32"/>
          <w:lang w:val="en-US" w:eastAsia="zh-CN"/>
          <w14:textFill>
            <w14:solidFill>
              <w14:schemeClr w14:val="tx1"/>
            </w14:solidFill>
          </w14:textFill>
        </w:rPr>
        <w:t>年12月21</w:t>
      </w:r>
      <w:r>
        <w:rPr>
          <w:rFonts w:hint="eastAsia" w:ascii="仿宋_GB2312" w:hAnsi="仿宋" w:eastAsia="仿宋_GB2312" w:cs="仿宋"/>
          <w:color w:val="000000" w:themeColor="text1"/>
          <w:sz w:val="32"/>
          <w:szCs w:val="32"/>
          <w14:textFill>
            <w14:solidFill>
              <w14:schemeClr w14:val="tx1"/>
            </w14:solidFill>
          </w14:textFill>
        </w:rPr>
        <w:t>日在</w:t>
      </w:r>
      <w:r>
        <w:rPr>
          <w:rFonts w:hint="eastAsia" w:ascii="仿宋_GB2312" w:hAnsi="仿宋" w:eastAsia="仿宋_GB2312" w:cs="仿宋"/>
          <w:color w:val="000000" w:themeColor="text1"/>
          <w:sz w:val="32"/>
          <w:szCs w:val="32"/>
          <w:lang w:val="en-US" w:eastAsia="zh-CN"/>
          <w14:textFill>
            <w14:solidFill>
              <w14:schemeClr w14:val="tx1"/>
            </w14:solidFill>
          </w14:textFill>
        </w:rPr>
        <w:t>拼多多XX参茸行</w:t>
      </w:r>
      <w:r>
        <w:rPr>
          <w:rFonts w:hint="eastAsia" w:ascii="仿宋_GB2312" w:hAnsi="仿宋" w:eastAsia="仿宋_GB2312" w:cs="仿宋"/>
          <w:color w:val="000000" w:themeColor="text1"/>
          <w:sz w:val="32"/>
          <w:szCs w:val="32"/>
          <w14:textFill>
            <w14:solidFill>
              <w14:schemeClr w14:val="tx1"/>
            </w14:solidFill>
          </w14:textFill>
        </w:rPr>
        <w:t>购买了</w:t>
      </w:r>
      <w:r>
        <w:rPr>
          <w:rFonts w:hint="eastAsia" w:ascii="仿宋_GB2312" w:hAnsi="仿宋" w:eastAsia="仿宋_GB2312" w:cs="仿宋"/>
          <w:color w:val="000000" w:themeColor="text1"/>
          <w:sz w:val="32"/>
          <w:szCs w:val="32"/>
          <w:lang w:val="en-US" w:eastAsia="zh-CN"/>
          <w14:textFill>
            <w14:solidFill>
              <w14:schemeClr w14:val="tx1"/>
            </w14:solidFill>
          </w14:textFill>
        </w:rPr>
        <w:t>鹿茸片</w:t>
      </w:r>
      <w:r>
        <w:rPr>
          <w:rFonts w:hint="eastAsia" w:ascii="仿宋_GB2312" w:hAnsi="仿宋" w:eastAsia="仿宋_GB2312" w:cs="仿宋"/>
          <w:color w:val="000000" w:themeColor="text1"/>
          <w:sz w:val="32"/>
          <w:szCs w:val="32"/>
          <w:lang w:eastAsia="zh-CN"/>
          <w14:textFill>
            <w14:solidFill>
              <w14:schemeClr w14:val="tx1"/>
            </w14:solidFill>
          </w14:textFill>
        </w:rPr>
        <w:t>，收到的该产品1、根据中药材“鹿茸”及其饮片“鹿茸片”均收载于《中华人民共和国药典》(2020年版一部)，按药品管理，其生产、经营、使用应严格遵守《中华人民共和国药品管理法》相关规定，故不能作为普通食品或初</w:t>
      </w:r>
      <w:r>
        <w:rPr>
          <w:rFonts w:hint="eastAsia" w:ascii="仿宋_GB2312" w:hAnsi="仿宋" w:eastAsia="仿宋_GB2312" w:cs="仿宋"/>
          <w:color w:val="000000" w:themeColor="text1"/>
          <w:sz w:val="32"/>
          <w:szCs w:val="32"/>
          <w:lang w:val="en-US" w:eastAsia="zh-CN"/>
          <w14:textFill>
            <w14:solidFill>
              <w14:schemeClr w14:val="tx1"/>
            </w14:solidFill>
          </w14:textFill>
        </w:rPr>
        <w:t>级</w:t>
      </w:r>
      <w:r>
        <w:rPr>
          <w:rFonts w:hint="eastAsia" w:ascii="仿宋_GB2312" w:hAnsi="仿宋" w:eastAsia="仿宋_GB2312" w:cs="仿宋"/>
          <w:color w:val="000000" w:themeColor="text1"/>
          <w:sz w:val="32"/>
          <w:szCs w:val="32"/>
          <w:lang w:eastAsia="zh-CN"/>
          <w14:textFill>
            <w14:solidFill>
              <w14:schemeClr w14:val="tx1"/>
            </w14:solidFill>
          </w14:textFill>
        </w:rPr>
        <w:t>农产品销售；2、己经完全改变形状且分装，所以不属于初级农产品。而且根据预包装食品规定，定量定时真空包装，属于</w:t>
      </w:r>
      <w:r>
        <w:rPr>
          <w:rFonts w:hint="eastAsia" w:ascii="仿宋_GB2312" w:hAnsi="仿宋" w:eastAsia="仿宋_GB2312" w:cs="仿宋"/>
          <w:color w:val="000000" w:themeColor="text1"/>
          <w:sz w:val="32"/>
          <w:szCs w:val="32"/>
          <w:lang w:val="en-US" w:eastAsia="zh-CN"/>
          <w14:textFill>
            <w14:solidFill>
              <w14:schemeClr w14:val="tx1"/>
            </w14:solidFill>
          </w14:textFill>
        </w:rPr>
        <w:t>预</w:t>
      </w:r>
      <w:r>
        <w:rPr>
          <w:rFonts w:hint="eastAsia" w:ascii="仿宋_GB2312" w:hAnsi="仿宋" w:eastAsia="仿宋_GB2312" w:cs="仿宋"/>
          <w:color w:val="000000" w:themeColor="text1"/>
          <w:sz w:val="32"/>
          <w:szCs w:val="32"/>
          <w:lang w:eastAsia="zh-CN"/>
          <w14:textFill>
            <w14:solidFill>
              <w14:schemeClr w14:val="tx1"/>
            </w14:solidFill>
          </w14:textFill>
        </w:rPr>
        <w:t>包装食品；3、而且初级农产品定义：外包装物上标注或者附加标识标明品名、产地、生产者或着销售者名称生产日期，但是本产品并没有生产人及其电话地址等。市场监</w:t>
      </w:r>
      <w:r>
        <w:rPr>
          <w:rFonts w:hint="eastAsia" w:ascii="仿宋_GB2312" w:hAnsi="仿宋" w:eastAsia="仿宋_GB2312" w:cs="仿宋"/>
          <w:color w:val="000000" w:themeColor="text1"/>
          <w:sz w:val="32"/>
          <w:szCs w:val="32"/>
          <w:lang w:val="en-US" w:eastAsia="zh-CN"/>
          <w14:textFill>
            <w14:solidFill>
              <w14:schemeClr w14:val="tx1"/>
            </w14:solidFill>
          </w14:textFill>
        </w:rPr>
        <w:t>管部门</w:t>
      </w:r>
      <w:r>
        <w:rPr>
          <w:rFonts w:hint="eastAsia" w:ascii="仿宋_GB2312" w:hAnsi="仿宋" w:eastAsia="仿宋_GB2312" w:cs="仿宋"/>
          <w:color w:val="000000" w:themeColor="text1"/>
          <w:sz w:val="32"/>
          <w:szCs w:val="32"/>
          <w:lang w:eastAsia="zh-CN"/>
          <w14:textFill>
            <w14:solidFill>
              <w14:schemeClr w14:val="tx1"/>
            </w14:solidFill>
          </w14:textFill>
        </w:rPr>
        <w:t>于2024年1月19日通过全国</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2315平台对本人的举报进行回复：</w:t>
      </w:r>
      <w:r>
        <w:rPr>
          <w:rFonts w:hint="eastAsia" w:ascii="仿宋_GB2312" w:hAnsi="仿宋" w:eastAsia="仿宋_GB2312" w:cs="仿宋"/>
          <w:color w:val="000000" w:themeColor="text1"/>
          <w:sz w:val="32"/>
          <w:szCs w:val="32"/>
          <w:lang w:val="en-US" w:eastAsia="zh-CN"/>
          <w14:textFill>
            <w14:solidFill>
              <w14:schemeClr w14:val="tx1"/>
            </w14:solidFill>
          </w14:textFill>
        </w:rPr>
        <w:t>经</w:t>
      </w:r>
      <w:r>
        <w:rPr>
          <w:rFonts w:hint="eastAsia" w:ascii="仿宋_GB2312" w:hAnsi="仿宋" w:eastAsia="仿宋_GB2312" w:cs="仿宋"/>
          <w:color w:val="000000" w:themeColor="text1"/>
          <w:sz w:val="32"/>
          <w:szCs w:val="32"/>
          <w:lang w:eastAsia="zh-CN"/>
          <w14:textFill>
            <w14:solidFill>
              <w14:schemeClr w14:val="tx1"/>
            </w14:solidFill>
          </w14:textFill>
        </w:rPr>
        <w:t>查，举报事项不予立案，理由：我局接到举报后派人进行调查，结果如下：1、通化聚鑫经济开发区</w:t>
      </w:r>
      <w:r>
        <w:rPr>
          <w:rFonts w:hint="eastAsia" w:ascii="仿宋_GB2312" w:hAnsi="仿宋" w:eastAsia="仿宋_GB2312" w:cs="仿宋"/>
          <w:color w:val="000000" w:themeColor="text1"/>
          <w:sz w:val="32"/>
          <w:szCs w:val="32"/>
          <w:lang w:val="en-US" w:eastAsia="zh-CN"/>
          <w14:textFill>
            <w14:solidFill>
              <w14:schemeClr w14:val="tx1"/>
            </w14:solidFill>
          </w14:textFill>
        </w:rPr>
        <w:t>XX</w:t>
      </w:r>
      <w:r>
        <w:rPr>
          <w:rFonts w:hint="eastAsia" w:ascii="仿宋_GB2312" w:hAnsi="仿宋" w:eastAsia="仿宋_GB2312" w:cs="仿宋"/>
          <w:color w:val="000000" w:themeColor="text1"/>
          <w:sz w:val="32"/>
          <w:szCs w:val="32"/>
          <w:lang w:eastAsia="zh-CN"/>
          <w14:textFill>
            <w14:solidFill>
              <w14:schemeClr w14:val="tx1"/>
            </w14:solidFill>
          </w14:textFill>
        </w:rPr>
        <w:t>参茸行为我局注册个体工商户；2、经查看商家网店后台，该笔交易</w:t>
      </w:r>
      <w:r>
        <w:rPr>
          <w:rFonts w:hint="eastAsia" w:ascii="仿宋_GB2312" w:hAnsi="仿宋" w:eastAsia="仿宋_GB2312" w:cs="仿宋"/>
          <w:color w:val="000000" w:themeColor="text1"/>
          <w:sz w:val="32"/>
          <w:szCs w:val="32"/>
          <w:lang w:val="en-US" w:eastAsia="zh-CN"/>
          <w14:textFill>
            <w14:solidFill>
              <w14:schemeClr w14:val="tx1"/>
            </w14:solidFill>
          </w14:textFill>
        </w:rPr>
        <w:t>订</w:t>
      </w:r>
      <w:r>
        <w:rPr>
          <w:rFonts w:hint="eastAsia" w:ascii="仿宋_GB2312" w:hAnsi="仿宋" w:eastAsia="仿宋_GB2312" w:cs="仿宋"/>
          <w:color w:val="000000" w:themeColor="text1"/>
          <w:sz w:val="32"/>
          <w:szCs w:val="32"/>
          <w:lang w:eastAsia="zh-CN"/>
          <w14:textFill>
            <w14:solidFill>
              <w14:schemeClr w14:val="tx1"/>
            </w14:solidFill>
          </w14:textFill>
        </w:rPr>
        <w:t>单</w:t>
      </w:r>
      <w:r>
        <w:rPr>
          <w:rFonts w:hint="eastAsia" w:ascii="仿宋_GB2312" w:hAnsi="仿宋" w:eastAsia="仿宋_GB2312" w:cs="仿宋"/>
          <w:color w:val="000000" w:themeColor="text1"/>
          <w:sz w:val="32"/>
          <w:szCs w:val="32"/>
          <w:lang w:val="en-US" w:eastAsia="zh-CN"/>
          <w14:textFill>
            <w14:solidFill>
              <w14:schemeClr w14:val="tx1"/>
            </w14:solidFill>
          </w14:textFill>
        </w:rPr>
        <w:t>已退款</w:t>
      </w:r>
      <w:r>
        <w:rPr>
          <w:rFonts w:hint="eastAsia" w:ascii="仿宋_GB2312" w:hAnsi="仿宋" w:eastAsia="仿宋_GB2312" w:cs="仿宋"/>
          <w:color w:val="000000" w:themeColor="text1"/>
          <w:sz w:val="32"/>
          <w:szCs w:val="32"/>
          <w:lang w:eastAsia="zh-CN"/>
          <w14:textFill>
            <w14:solidFill>
              <w14:schemeClr w14:val="tx1"/>
            </w14:solidFill>
          </w14:textFill>
        </w:rPr>
        <w:t>成功；3、经我局执法人员查看商品实物，商家销售的鹿茸片未改变其基本自然性状和化学性质，属于农产品中的</w:t>
      </w:r>
      <w:r>
        <w:rPr>
          <w:rFonts w:hint="eastAsia" w:ascii="仿宋_GB2312" w:hAnsi="仿宋" w:eastAsia="仿宋_GB2312" w:cs="仿宋"/>
          <w:color w:val="000000" w:themeColor="text1"/>
          <w:sz w:val="32"/>
          <w:szCs w:val="32"/>
          <w:lang w:val="en-US" w:eastAsia="zh-CN"/>
          <w14:textFill>
            <w14:solidFill>
              <w14:schemeClr w14:val="tx1"/>
            </w14:solidFill>
          </w14:textFill>
        </w:rPr>
        <w:t>散装</w:t>
      </w:r>
      <w:r>
        <w:rPr>
          <w:rFonts w:hint="eastAsia" w:ascii="仿宋_GB2312" w:hAnsi="仿宋" w:eastAsia="仿宋_GB2312" w:cs="仿宋"/>
          <w:color w:val="000000" w:themeColor="text1"/>
          <w:sz w:val="32"/>
          <w:szCs w:val="32"/>
          <w:lang w:eastAsia="zh-CN"/>
          <w14:textFill>
            <w14:solidFill>
              <w14:schemeClr w14:val="tx1"/>
            </w14:solidFill>
          </w14:textFill>
        </w:rPr>
        <w:t>中药材，依据《食品药品监管总局办公厅关于非药品经营单位销售中药材有关问题的复函》：中药材有药用、食用、兽药等多种用途，判断中药材是否</w:t>
      </w:r>
      <w:r>
        <w:rPr>
          <w:rFonts w:hint="eastAsia" w:ascii="仿宋_GB2312" w:hAnsi="仿宋" w:eastAsia="仿宋_GB2312" w:cs="仿宋"/>
          <w:color w:val="000000" w:themeColor="text1"/>
          <w:sz w:val="32"/>
          <w:szCs w:val="32"/>
          <w:lang w:val="en-US" w:eastAsia="zh-CN"/>
          <w14:textFill>
            <w14:solidFill>
              <w14:schemeClr w14:val="tx1"/>
            </w14:solidFill>
          </w14:textFill>
        </w:rPr>
        <w:t>属于</w:t>
      </w:r>
      <w:r>
        <w:rPr>
          <w:rFonts w:hint="eastAsia" w:ascii="仿宋_GB2312" w:hAnsi="仿宋" w:eastAsia="仿宋_GB2312" w:cs="仿宋"/>
          <w:color w:val="000000" w:themeColor="text1"/>
          <w:sz w:val="32"/>
          <w:szCs w:val="32"/>
          <w:lang w:eastAsia="zh-CN"/>
          <w14:textFill>
            <w14:solidFill>
              <w14:schemeClr w14:val="tx1"/>
            </w14:solidFill>
          </w14:textFill>
        </w:rPr>
        <w:t>药品管理。关键在于界定其用途：未进入药用</w:t>
      </w:r>
      <w:r>
        <w:rPr>
          <w:rFonts w:hint="eastAsia" w:ascii="仿宋_GB2312" w:hAnsi="仿宋" w:eastAsia="仿宋_GB2312" w:cs="仿宋"/>
          <w:color w:val="000000" w:themeColor="text1"/>
          <w:sz w:val="32"/>
          <w:szCs w:val="32"/>
          <w:lang w:val="en-US" w:eastAsia="zh-CN"/>
          <w14:textFill>
            <w14:solidFill>
              <w14:schemeClr w14:val="tx1"/>
            </w14:solidFill>
          </w14:textFill>
        </w:rPr>
        <w:t>渠道</w:t>
      </w:r>
      <w:r>
        <w:rPr>
          <w:rFonts w:hint="eastAsia" w:ascii="仿宋_GB2312" w:hAnsi="仿宋" w:eastAsia="仿宋_GB2312" w:cs="仿宋"/>
          <w:color w:val="000000" w:themeColor="text1"/>
          <w:sz w:val="32"/>
          <w:szCs w:val="32"/>
          <w:lang w:eastAsia="zh-CN"/>
          <w14:textFill>
            <w14:solidFill>
              <w14:schemeClr w14:val="tx1"/>
            </w14:solidFill>
          </w14:textFill>
        </w:rPr>
        <w:t>的中药材，签于各地有不同食用传统，不宜强调其药品属性，经营者无需取得《药品经营许可证》，但经营此类中药材不得</w:t>
      </w:r>
      <w:r>
        <w:rPr>
          <w:rFonts w:hint="eastAsia" w:ascii="仿宋_GB2312" w:hAnsi="仿宋" w:eastAsia="仿宋_GB2312" w:cs="仿宋"/>
          <w:color w:val="000000" w:themeColor="text1"/>
          <w:sz w:val="32"/>
          <w:szCs w:val="32"/>
          <w:lang w:val="en-US" w:eastAsia="zh-CN"/>
          <w14:textFill>
            <w14:solidFill>
              <w14:schemeClr w14:val="tx1"/>
            </w14:solidFill>
          </w14:textFill>
        </w:rPr>
        <w:t>宣称</w:t>
      </w:r>
      <w:r>
        <w:rPr>
          <w:rFonts w:hint="eastAsia" w:ascii="仿宋_GB2312" w:hAnsi="仿宋" w:eastAsia="仿宋_GB2312" w:cs="仿宋"/>
          <w:color w:val="000000" w:themeColor="text1"/>
          <w:sz w:val="32"/>
          <w:szCs w:val="32"/>
          <w:lang w:eastAsia="zh-CN"/>
          <w14:textFill>
            <w14:solidFill>
              <w14:schemeClr w14:val="tx1"/>
            </w14:solidFill>
          </w14:textFill>
        </w:rPr>
        <w:t>功能主治、用法用量等相关内容；4,该产品有标签，且标签内容符合《农产品包装和标识管理办法》第十条规定；5、综上，我局决定不予立案。申请人对此回复不</w:t>
      </w:r>
      <w:r>
        <w:rPr>
          <w:rFonts w:hint="eastAsia" w:ascii="仿宋_GB2312" w:hAnsi="仿宋" w:eastAsia="仿宋_GB2312" w:cs="仿宋"/>
          <w:color w:val="000000" w:themeColor="text1"/>
          <w:sz w:val="32"/>
          <w:szCs w:val="32"/>
          <w:lang w:val="en-US" w:eastAsia="zh-CN"/>
          <w14:textFill>
            <w14:solidFill>
              <w14:schemeClr w14:val="tx1"/>
            </w14:solidFill>
          </w14:textFill>
        </w:rPr>
        <w:t>服</w:t>
      </w:r>
      <w:r>
        <w:rPr>
          <w:rFonts w:hint="eastAsia" w:ascii="仿宋_GB2312" w:hAnsi="仿宋" w:eastAsia="仿宋_GB2312" w:cs="仿宋"/>
          <w:color w:val="000000" w:themeColor="text1"/>
          <w:sz w:val="32"/>
          <w:szCs w:val="32"/>
          <w:lang w:eastAsia="zh-CN"/>
          <w14:textFill>
            <w14:solidFill>
              <w14:schemeClr w14:val="tx1"/>
            </w14:solidFill>
          </w14:textFill>
        </w:rPr>
        <w:t>，遂提起行政复议理由：一、被申请人在调查案件中发现违法食品，</w:t>
      </w:r>
      <w:r>
        <w:rPr>
          <w:rFonts w:hint="eastAsia" w:ascii="仿宋_GB2312" w:hAnsi="仿宋" w:eastAsia="仿宋_GB2312" w:cs="仿宋"/>
          <w:color w:val="000000" w:themeColor="text1"/>
          <w:sz w:val="32"/>
          <w:szCs w:val="32"/>
          <w:lang w:val="en-US" w:eastAsia="zh-CN"/>
          <w14:textFill>
            <w14:solidFill>
              <w14:schemeClr w14:val="tx1"/>
            </w14:solidFill>
          </w14:textFill>
        </w:rPr>
        <w:t>却</w:t>
      </w:r>
      <w:r>
        <w:rPr>
          <w:rFonts w:hint="eastAsia" w:ascii="仿宋_GB2312" w:hAnsi="仿宋" w:eastAsia="仿宋_GB2312" w:cs="仿宋"/>
          <w:color w:val="000000" w:themeColor="text1"/>
          <w:sz w:val="32"/>
          <w:szCs w:val="32"/>
          <w:lang w:eastAsia="zh-CN"/>
          <w14:textFill>
            <w14:solidFill>
              <w14:schemeClr w14:val="tx1"/>
            </w14:solidFill>
          </w14:textFill>
        </w:rPr>
        <w:t>没有能力发现</w:t>
      </w:r>
      <w:r>
        <w:rPr>
          <w:rFonts w:hint="eastAsia" w:ascii="仿宋_GB2312" w:hAnsi="仿宋" w:eastAsia="仿宋_GB2312" w:cs="仿宋"/>
          <w:color w:val="000000" w:themeColor="text1"/>
          <w:sz w:val="32"/>
          <w:szCs w:val="32"/>
          <w:lang w:val="en-US" w:eastAsia="zh-CN"/>
          <w14:textFill>
            <w14:solidFill>
              <w14:schemeClr w14:val="tx1"/>
            </w14:solidFill>
          </w14:textFill>
        </w:rPr>
        <w:t>违</w:t>
      </w:r>
      <w:r>
        <w:rPr>
          <w:rFonts w:hint="eastAsia" w:ascii="仿宋_GB2312" w:hAnsi="仿宋" w:eastAsia="仿宋_GB2312" w:cs="仿宋"/>
          <w:color w:val="000000" w:themeColor="text1"/>
          <w:sz w:val="32"/>
          <w:szCs w:val="32"/>
          <w:lang w:eastAsia="zh-CN"/>
          <w14:textFill>
            <w14:solidFill>
              <w14:schemeClr w14:val="tx1"/>
            </w14:solidFill>
          </w14:textFill>
        </w:rPr>
        <w:t>法问题，不立案调查的行为，有法不依，采用违法违规的手段纵容包庇商家；</w:t>
      </w:r>
      <w:r>
        <w:rPr>
          <w:rFonts w:hint="eastAsia" w:ascii="仿宋_GB2312" w:hAnsi="仿宋" w:eastAsia="仿宋_GB2312" w:cs="仿宋"/>
          <w:color w:val="000000" w:themeColor="text1"/>
          <w:sz w:val="32"/>
          <w:szCs w:val="32"/>
          <w:lang w:val="en-US" w:eastAsia="zh-CN"/>
          <w14:textFill>
            <w14:solidFill>
              <w14:schemeClr w14:val="tx1"/>
            </w14:solidFill>
          </w14:textFill>
        </w:rPr>
        <w:t>二、</w:t>
      </w:r>
      <w:r>
        <w:rPr>
          <w:rFonts w:hint="eastAsia" w:ascii="仿宋_GB2312" w:hAnsi="仿宋" w:eastAsia="仿宋_GB2312" w:cs="仿宋"/>
          <w:color w:val="000000" w:themeColor="text1"/>
          <w:sz w:val="32"/>
          <w:szCs w:val="32"/>
          <w:lang w:eastAsia="zh-CN"/>
          <w14:textFill>
            <w14:solidFill>
              <w14:schemeClr w14:val="tx1"/>
            </w14:solidFill>
          </w14:textFill>
        </w:rPr>
        <w:t>申请提出了三个问题，回复对于预包装食品、三无食品和《中华人民共和国药典》(2020年版</w:t>
      </w:r>
      <w:r>
        <w:rPr>
          <w:rFonts w:hint="eastAsia" w:ascii="仿宋_GB2312" w:hAnsi="仿宋" w:eastAsia="仿宋_GB2312" w:cs="仿宋"/>
          <w:color w:val="000000" w:themeColor="text1"/>
          <w:sz w:val="32"/>
          <w:szCs w:val="32"/>
          <w:lang w:val="en-US" w:eastAsia="zh-CN"/>
          <w14:textFill>
            <w14:solidFill>
              <w14:schemeClr w14:val="tx1"/>
            </w14:solidFill>
          </w14:textFill>
        </w:rPr>
        <w:t>一部</w:t>
      </w:r>
      <w:r>
        <w:rPr>
          <w:rFonts w:hint="eastAsia" w:ascii="仿宋_GB2312" w:hAnsi="仿宋" w:eastAsia="仿宋_GB2312" w:cs="仿宋"/>
          <w:color w:val="000000" w:themeColor="text1"/>
          <w:sz w:val="32"/>
          <w:szCs w:val="32"/>
          <w:lang w:eastAsia="zh-CN"/>
          <w14:textFill>
            <w14:solidFill>
              <w14:schemeClr w14:val="tx1"/>
            </w14:solidFill>
          </w14:textFill>
        </w:rPr>
        <w:t>)回答错误。1、预包装定义：根据《食品安全法》第一百五十条规定，预包装食品，指</w:t>
      </w:r>
      <w:r>
        <w:rPr>
          <w:rFonts w:hint="eastAsia" w:ascii="仿宋_GB2312" w:hAnsi="仿宋" w:eastAsia="仿宋_GB2312" w:cs="仿宋"/>
          <w:color w:val="000000" w:themeColor="text1"/>
          <w:sz w:val="32"/>
          <w:szCs w:val="32"/>
          <w:lang w:val="en-US" w:eastAsia="zh-CN"/>
          <w14:textFill>
            <w14:solidFill>
              <w14:schemeClr w14:val="tx1"/>
            </w14:solidFill>
          </w14:textFill>
        </w:rPr>
        <w:t>预</w:t>
      </w:r>
      <w:r>
        <w:rPr>
          <w:rFonts w:hint="eastAsia" w:ascii="仿宋_GB2312" w:hAnsi="仿宋" w:eastAsia="仿宋_GB2312" w:cs="仿宋"/>
          <w:color w:val="000000" w:themeColor="text1"/>
          <w:sz w:val="32"/>
          <w:szCs w:val="32"/>
          <w:lang w:eastAsia="zh-CN"/>
          <w14:textFill>
            <w14:solidFill>
              <w14:schemeClr w14:val="tx1"/>
            </w14:solidFill>
          </w14:textFill>
        </w:rPr>
        <w:t>先定量包装或者制作在包装材料、容器中的食品。《食品安全国家标准预包装食品标签通则》(GB7718-2011)对预包装食品进行了进一步说明，预包装食品是预先定量包装或者制作在包装材料和容器中的食品。包括预先定量包装以及预选定量制作在包装材料和容器中并且在一定量限内具有统一的质量或体积标识的食品，预包装食品有两大特征，一是应当预先包装。二是包装上要有统一的质量或体积的标示。对此</w:t>
      </w:r>
      <w:r>
        <w:rPr>
          <w:rFonts w:hint="eastAsia" w:ascii="仿宋_GB2312" w:hAnsi="仿宋" w:eastAsia="仿宋_GB2312" w:cs="仿宋"/>
          <w:color w:val="000000" w:themeColor="text1"/>
          <w:sz w:val="32"/>
          <w:szCs w:val="32"/>
          <w:lang w:val="en-US" w:eastAsia="zh-CN"/>
          <w14:textFill>
            <w14:solidFill>
              <w14:schemeClr w14:val="tx1"/>
            </w14:solidFill>
          </w14:textFill>
        </w:rPr>
        <w:t>申请</w:t>
      </w:r>
      <w:r>
        <w:rPr>
          <w:rFonts w:hint="eastAsia" w:ascii="仿宋_GB2312" w:hAnsi="仿宋" w:eastAsia="仿宋_GB2312" w:cs="仿宋"/>
          <w:color w:val="000000" w:themeColor="text1"/>
          <w:sz w:val="32"/>
          <w:szCs w:val="32"/>
          <w:lang w:eastAsia="zh-CN"/>
          <w14:textFill>
            <w14:solidFill>
              <w14:schemeClr w14:val="tx1"/>
            </w14:solidFill>
          </w14:textFill>
        </w:rPr>
        <w:t>人购买产品完全符合</w:t>
      </w:r>
      <w:r>
        <w:rPr>
          <w:rFonts w:hint="eastAsia" w:ascii="仿宋_GB2312" w:hAnsi="仿宋" w:eastAsia="仿宋_GB2312" w:cs="仿宋"/>
          <w:color w:val="000000" w:themeColor="text1"/>
          <w:sz w:val="32"/>
          <w:szCs w:val="32"/>
          <w:lang w:val="en-US" w:eastAsia="zh-CN"/>
          <w14:textFill>
            <w14:solidFill>
              <w14:schemeClr w14:val="tx1"/>
            </w14:solidFill>
          </w14:textFill>
        </w:rPr>
        <w:t>预包装</w:t>
      </w:r>
      <w:r>
        <w:rPr>
          <w:rFonts w:hint="eastAsia" w:ascii="仿宋_GB2312" w:hAnsi="仿宋" w:eastAsia="仿宋_GB2312" w:cs="仿宋"/>
          <w:color w:val="000000" w:themeColor="text1"/>
          <w:sz w:val="32"/>
          <w:szCs w:val="32"/>
          <w:lang w:eastAsia="zh-CN"/>
          <w14:textFill>
            <w14:solidFill>
              <w14:schemeClr w14:val="tx1"/>
            </w14:solidFill>
          </w14:textFill>
        </w:rPr>
        <w:t>食品规定。所以已经不属于</w:t>
      </w:r>
      <w:r>
        <w:rPr>
          <w:rFonts w:hint="eastAsia" w:ascii="仿宋_GB2312" w:hAnsi="仿宋" w:eastAsia="仿宋_GB2312" w:cs="仿宋"/>
          <w:color w:val="000000" w:themeColor="text1"/>
          <w:sz w:val="32"/>
          <w:szCs w:val="32"/>
          <w:lang w:val="en-US" w:eastAsia="zh-CN"/>
          <w14:textFill>
            <w14:solidFill>
              <w14:schemeClr w14:val="tx1"/>
            </w14:solidFill>
          </w14:textFill>
        </w:rPr>
        <w:t>初级</w:t>
      </w:r>
      <w:r>
        <w:rPr>
          <w:rFonts w:hint="eastAsia" w:ascii="仿宋_GB2312" w:hAnsi="仿宋" w:eastAsia="仿宋_GB2312" w:cs="仿宋"/>
          <w:color w:val="000000" w:themeColor="text1"/>
          <w:sz w:val="32"/>
          <w:szCs w:val="32"/>
          <w:lang w:eastAsia="zh-CN"/>
          <w14:textFill>
            <w14:solidFill>
              <w14:schemeClr w14:val="tx1"/>
            </w14:solidFill>
          </w14:textFill>
        </w:rPr>
        <w:t>农产品。申请人没有查询到吉林省根据食品药品监管总局办公厅关于非药品经营单位销售中药材有关</w:t>
      </w:r>
      <w:r>
        <w:rPr>
          <w:rFonts w:hint="eastAsia" w:ascii="仿宋_GB2312" w:hAnsi="仿宋" w:eastAsia="仿宋_GB2312" w:cs="仿宋"/>
          <w:color w:val="000000" w:themeColor="text1"/>
          <w:sz w:val="32"/>
          <w:szCs w:val="32"/>
          <w:lang w:val="en-US" w:eastAsia="zh-CN"/>
          <w14:textFill>
            <w14:solidFill>
              <w14:schemeClr w14:val="tx1"/>
            </w14:solidFill>
          </w14:textFill>
        </w:rPr>
        <w:t>问题</w:t>
      </w:r>
      <w:r>
        <w:rPr>
          <w:rFonts w:hint="eastAsia" w:ascii="仿宋_GB2312" w:hAnsi="仿宋" w:eastAsia="仿宋_GB2312" w:cs="仿宋"/>
          <w:color w:val="000000" w:themeColor="text1"/>
          <w:sz w:val="32"/>
          <w:szCs w:val="32"/>
          <w:lang w:eastAsia="zh-CN"/>
          <w14:textFill>
            <w14:solidFill>
              <w14:schemeClr w14:val="tx1"/>
            </w14:solidFill>
          </w14:textFill>
        </w:rPr>
        <w:t>的复函中明确“</w:t>
      </w:r>
      <w:r>
        <w:rPr>
          <w:rFonts w:hint="eastAsia" w:ascii="仿宋_GB2312" w:hAnsi="仿宋" w:eastAsia="仿宋_GB2312" w:cs="仿宋"/>
          <w:color w:val="000000" w:themeColor="text1"/>
          <w:sz w:val="32"/>
          <w:szCs w:val="32"/>
          <w:lang w:val="en-US" w:eastAsia="zh-CN"/>
          <w14:textFill>
            <w14:solidFill>
              <w14:schemeClr w14:val="tx1"/>
            </w14:solidFill>
          </w14:textFill>
        </w:rPr>
        <w:t>未</w:t>
      </w:r>
      <w:r>
        <w:rPr>
          <w:rFonts w:hint="eastAsia" w:ascii="仿宋_GB2312" w:hAnsi="仿宋" w:eastAsia="仿宋_GB2312" w:cs="仿宋"/>
          <w:color w:val="000000" w:themeColor="text1"/>
          <w:sz w:val="32"/>
          <w:szCs w:val="32"/>
          <w:lang w:eastAsia="zh-CN"/>
          <w14:textFill>
            <w14:solidFill>
              <w14:schemeClr w14:val="tx1"/>
            </w14:solidFill>
          </w14:textFill>
        </w:rPr>
        <w:t>进入药用</w:t>
      </w:r>
      <w:r>
        <w:rPr>
          <w:rFonts w:hint="eastAsia" w:ascii="仿宋_GB2312" w:hAnsi="仿宋" w:eastAsia="仿宋_GB2312" w:cs="仿宋"/>
          <w:color w:val="000000" w:themeColor="text1"/>
          <w:sz w:val="32"/>
          <w:szCs w:val="32"/>
          <w:lang w:val="en-US" w:eastAsia="zh-CN"/>
          <w14:textFill>
            <w14:solidFill>
              <w14:schemeClr w14:val="tx1"/>
            </w14:solidFill>
          </w14:textFill>
        </w:rPr>
        <w:t>渠道</w:t>
      </w:r>
      <w:r>
        <w:rPr>
          <w:rFonts w:hint="eastAsia" w:ascii="仿宋_GB2312" w:hAnsi="仿宋" w:eastAsia="仿宋_GB2312" w:cs="仿宋"/>
          <w:color w:val="000000" w:themeColor="text1"/>
          <w:sz w:val="32"/>
          <w:szCs w:val="32"/>
          <w:lang w:eastAsia="zh-CN"/>
          <w14:textFill>
            <w14:solidFill>
              <w14:schemeClr w14:val="tx1"/>
            </w14:solidFill>
          </w14:textFill>
        </w:rPr>
        <w:t>的中药材，鉴于各地有不同的食用传统，不宜强调其药品属性，经营者无需取得《药品经营许可证》”，中药材“鹿茸”及其饮片“</w:t>
      </w:r>
      <w:r>
        <w:rPr>
          <w:rFonts w:hint="eastAsia" w:ascii="仿宋_GB2312" w:hAnsi="仿宋" w:eastAsia="仿宋_GB2312" w:cs="仿宋"/>
          <w:color w:val="000000" w:themeColor="text1"/>
          <w:sz w:val="32"/>
          <w:szCs w:val="32"/>
          <w:lang w:val="en-US" w:eastAsia="zh-CN"/>
          <w14:textFill>
            <w14:solidFill>
              <w14:schemeClr w14:val="tx1"/>
            </w14:solidFill>
          </w14:textFill>
        </w:rPr>
        <w:t>鹿</w:t>
      </w:r>
      <w:r>
        <w:rPr>
          <w:rFonts w:hint="eastAsia" w:ascii="仿宋_GB2312" w:hAnsi="仿宋" w:eastAsia="仿宋_GB2312" w:cs="仿宋"/>
          <w:color w:val="000000" w:themeColor="text1"/>
          <w:sz w:val="32"/>
          <w:szCs w:val="32"/>
          <w:lang w:eastAsia="zh-CN"/>
          <w14:textFill>
            <w14:solidFill>
              <w14:schemeClr w14:val="tx1"/>
            </w14:solidFill>
          </w14:textFill>
        </w:rPr>
        <w:t>茸片”均收</w:t>
      </w:r>
      <w:r>
        <w:rPr>
          <w:rFonts w:hint="eastAsia" w:ascii="仿宋_GB2312" w:hAnsi="仿宋" w:eastAsia="仿宋_GB2312" w:cs="仿宋"/>
          <w:color w:val="000000" w:themeColor="text1"/>
          <w:sz w:val="32"/>
          <w:szCs w:val="32"/>
          <w:lang w:val="en-US" w:eastAsia="zh-CN"/>
          <w14:textFill>
            <w14:solidFill>
              <w14:schemeClr w14:val="tx1"/>
            </w14:solidFill>
          </w14:textFill>
        </w:rPr>
        <w:t>载</w:t>
      </w:r>
      <w:r>
        <w:rPr>
          <w:rFonts w:hint="eastAsia" w:ascii="仿宋_GB2312" w:hAnsi="仿宋" w:eastAsia="仿宋_GB2312" w:cs="仿宋"/>
          <w:color w:val="000000" w:themeColor="text1"/>
          <w:sz w:val="32"/>
          <w:szCs w:val="32"/>
          <w:lang w:eastAsia="zh-CN"/>
          <w14:textFill>
            <w14:solidFill>
              <w14:schemeClr w14:val="tx1"/>
            </w14:solidFill>
          </w14:textFill>
        </w:rPr>
        <w:t>于《中华人民共和国药典》(2020年版一部)，按药品管理，其生产、经营、使用应严格</w:t>
      </w:r>
      <w:r>
        <w:rPr>
          <w:rFonts w:hint="eastAsia" w:ascii="仿宋_GB2312" w:hAnsi="仿宋" w:eastAsia="仿宋_GB2312" w:cs="仿宋"/>
          <w:color w:val="000000" w:themeColor="text1"/>
          <w:sz w:val="32"/>
          <w:szCs w:val="32"/>
          <w:lang w:val="en-US" w:eastAsia="zh-CN"/>
          <w14:textFill>
            <w14:solidFill>
              <w14:schemeClr w14:val="tx1"/>
            </w14:solidFill>
          </w14:textFill>
        </w:rPr>
        <w:t>遵守《</w:t>
      </w:r>
      <w:r>
        <w:rPr>
          <w:rFonts w:hint="eastAsia" w:ascii="仿宋_GB2312" w:hAnsi="仿宋" w:eastAsia="仿宋_GB2312" w:cs="仿宋"/>
          <w:color w:val="000000" w:themeColor="text1"/>
          <w:sz w:val="32"/>
          <w:szCs w:val="32"/>
          <w:lang w:eastAsia="zh-CN"/>
          <w14:textFill>
            <w14:solidFill>
              <w14:schemeClr w14:val="tx1"/>
            </w14:solidFill>
          </w14:textFill>
        </w:rPr>
        <w:t>中华人民共和国药品管理法》相关规定，故不能作为普通食品</w:t>
      </w:r>
      <w:r>
        <w:rPr>
          <w:rFonts w:hint="eastAsia" w:ascii="仿宋_GB2312" w:hAnsi="仿宋" w:eastAsia="仿宋_GB2312" w:cs="仿宋"/>
          <w:color w:val="000000" w:themeColor="text1"/>
          <w:sz w:val="32"/>
          <w:szCs w:val="32"/>
          <w:lang w:val="en-US" w:eastAsia="zh-CN"/>
          <w14:textFill>
            <w14:solidFill>
              <w14:schemeClr w14:val="tx1"/>
            </w14:solidFill>
          </w14:textFill>
        </w:rPr>
        <w:t>或初级</w:t>
      </w:r>
      <w:r>
        <w:rPr>
          <w:rFonts w:hint="eastAsia" w:ascii="仿宋_GB2312" w:hAnsi="仿宋" w:eastAsia="仿宋_GB2312" w:cs="仿宋"/>
          <w:color w:val="000000" w:themeColor="text1"/>
          <w:sz w:val="32"/>
          <w:szCs w:val="32"/>
          <w:lang w:eastAsia="zh-CN"/>
          <w14:textFill>
            <w14:solidFill>
              <w14:schemeClr w14:val="tx1"/>
            </w14:solidFill>
          </w14:textFill>
        </w:rPr>
        <w:t>农产品销售，而且已经完全改变形状且分装，所以不属于初级农产品。初级农产品的包装物</w:t>
      </w:r>
      <w:r>
        <w:rPr>
          <w:rFonts w:hint="eastAsia" w:ascii="仿宋_GB2312" w:hAnsi="仿宋" w:eastAsia="仿宋_GB2312" w:cs="仿宋"/>
          <w:color w:val="000000" w:themeColor="text1"/>
          <w:sz w:val="32"/>
          <w:szCs w:val="32"/>
          <w:lang w:val="en-US" w:eastAsia="zh-CN"/>
          <w14:textFill>
            <w14:solidFill>
              <w14:schemeClr w14:val="tx1"/>
            </w14:solidFill>
          </w14:textFill>
        </w:rPr>
        <w:t>或者</w:t>
      </w:r>
      <w:r>
        <w:rPr>
          <w:rFonts w:hint="eastAsia" w:ascii="仿宋_GB2312" w:hAnsi="仿宋" w:eastAsia="仿宋_GB2312" w:cs="仿宋"/>
          <w:color w:val="000000" w:themeColor="text1"/>
          <w:sz w:val="32"/>
          <w:szCs w:val="32"/>
          <w:lang w:eastAsia="zh-CN"/>
          <w14:textFill>
            <w14:solidFill>
              <w14:schemeClr w14:val="tx1"/>
            </w14:solidFill>
          </w14:textFill>
        </w:rPr>
        <w:t>标识上应当按照规定标明产品的品名、产地、生产者、生产日期、保质期产品质量等级等内容：使用</w:t>
      </w:r>
      <w:r>
        <w:rPr>
          <w:rFonts w:hint="eastAsia" w:ascii="仿宋_GB2312" w:hAnsi="仿宋" w:eastAsia="仿宋_GB2312" w:cs="仿宋"/>
          <w:color w:val="000000" w:themeColor="text1"/>
          <w:sz w:val="32"/>
          <w:szCs w:val="32"/>
          <w:lang w:val="en-US" w:eastAsia="zh-CN"/>
          <w14:textFill>
            <w14:solidFill>
              <w14:schemeClr w14:val="tx1"/>
            </w14:solidFill>
          </w14:textFill>
        </w:rPr>
        <w:t>添</w:t>
      </w:r>
      <w:r>
        <w:rPr>
          <w:rFonts w:hint="eastAsia" w:ascii="仿宋_GB2312" w:hAnsi="仿宋" w:eastAsia="仿宋_GB2312" w:cs="仿宋"/>
          <w:color w:val="000000" w:themeColor="text1"/>
          <w:sz w:val="32"/>
          <w:szCs w:val="32"/>
          <w:lang w:eastAsia="zh-CN"/>
          <w14:textFill>
            <w14:solidFill>
              <w14:schemeClr w14:val="tx1"/>
            </w14:solidFill>
          </w14:textFill>
        </w:rPr>
        <w:t>加剂的，还应当按照规定标明添加剂的名称，此产品标识标签没有厂家包装公司名称，电话，地址等不符合要求。三、《最高人民法院关于举报人对行政机关就举报事项作出的处理或者不作为行为不服是否具有行政复议</w:t>
      </w:r>
      <w:r>
        <w:rPr>
          <w:rFonts w:hint="eastAsia" w:ascii="仿宋_GB2312" w:hAnsi="仿宋" w:eastAsia="仿宋_GB2312" w:cs="仿宋"/>
          <w:color w:val="000000" w:themeColor="text1"/>
          <w:sz w:val="32"/>
          <w:szCs w:val="32"/>
          <w:lang w:val="en-US" w:eastAsia="zh-CN"/>
          <w14:textFill>
            <w14:solidFill>
              <w14:schemeClr w14:val="tx1"/>
            </w14:solidFill>
          </w14:textFill>
        </w:rPr>
        <w:t>申请人</w:t>
      </w:r>
      <w:r>
        <w:rPr>
          <w:rFonts w:hint="eastAsia" w:ascii="仿宋_GB2312" w:hAnsi="仿宋" w:eastAsia="仿宋_GB2312" w:cs="仿宋"/>
          <w:color w:val="000000" w:themeColor="text1"/>
          <w:sz w:val="32"/>
          <w:szCs w:val="32"/>
          <w:lang w:eastAsia="zh-CN"/>
          <w14:textFill>
            <w14:solidFill>
              <w14:schemeClr w14:val="tx1"/>
            </w14:solidFill>
          </w14:textFill>
        </w:rPr>
        <w:t>资格</w:t>
      </w:r>
      <w:r>
        <w:rPr>
          <w:rFonts w:hint="eastAsia" w:ascii="仿宋_GB2312" w:hAnsi="仿宋" w:eastAsia="仿宋_GB2312" w:cs="仿宋"/>
          <w:color w:val="000000" w:themeColor="text1"/>
          <w:sz w:val="32"/>
          <w:szCs w:val="32"/>
          <w:lang w:val="en-US" w:eastAsia="zh-CN"/>
          <w14:textFill>
            <w14:solidFill>
              <w14:schemeClr w14:val="tx1"/>
            </w14:solidFill>
          </w14:textFill>
        </w:rPr>
        <w:t>问题</w:t>
      </w:r>
      <w:r>
        <w:rPr>
          <w:rFonts w:hint="eastAsia" w:ascii="仿宋_GB2312" w:hAnsi="仿宋" w:eastAsia="仿宋_GB2312" w:cs="仿宋"/>
          <w:color w:val="000000" w:themeColor="text1"/>
          <w:sz w:val="32"/>
          <w:szCs w:val="32"/>
          <w:lang w:eastAsia="zh-CN"/>
          <w14:textFill>
            <w14:solidFill>
              <w14:schemeClr w14:val="tx1"/>
            </w14:solidFill>
          </w14:textFill>
        </w:rPr>
        <w:t>的答复》，根据《中华人民共和因行政复议法》第九条第一款、《行政复议法实施条例》第二十八条第（二）项规定，举报人为推护自身合法权益而举报相关违法行为人，要求行政机关查处，对行政机关就举报事项作出的处理或者不作为行为不应申请行政复议的，具有行政复议申请人资格。</w:t>
      </w:r>
    </w:p>
    <w:p w14:paraId="243613D4">
      <w:pPr>
        <w:spacing w:after="0" w:line="576" w:lineRule="exact"/>
        <w:ind w:firstLine="640" w:firstLineChars="200"/>
        <w:jc w:val="both"/>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7EBBD094">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470A6D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经核查，</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于2023年12月24日通过12315平台向</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举报，举报通化聚鑫经济开发区XX参茸行销售“鹿茸片”产品。经调查，该“鹿茸片”产品属于中药材，同时该产品是通过畜牧业获得鹿茸经过切割后成为鹿茸片，符合农产品的定义，“鹿茸片”产品同时属于中药材与农产品二者定义并不冲突。《农产品包装和标识管理办法》第十条规定：“农产品生产企业、农民专业合作经济组织以及从事农产品收购的单位或者个人包装销售的农产品，应当在包装物上标注或者附加标识标明品名、产地、生产者或者销售者名称、生产日期。”经查看该产品实物照片，有产品标签，且标签内容符合该规定。</w:t>
      </w:r>
      <w:r>
        <w:rPr>
          <w:rFonts w:hint="eastAsia" w:ascii="仿宋_GB2312" w:hAnsi="仿宋" w:eastAsia="仿宋_GB2312" w:cs="仿宋"/>
          <w:color w:val="000000" w:themeColor="text1"/>
          <w:sz w:val="32"/>
          <w:szCs w:val="32"/>
          <w:lang w:eastAsia="zh-CN"/>
          <w14:textFill>
            <w14:solidFill>
              <w14:schemeClr w14:val="tx1"/>
            </w14:solidFill>
          </w14:textFill>
        </w:rPr>
        <w:t>综上所述，被申请人已经依法及时对申请人的举报进行了核查和答复，并且对被举报案件的调查和处理事实清楚、答复适当，合法有效。</w:t>
      </w:r>
    </w:p>
    <w:p w14:paraId="64CDA4D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12</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24</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12315平台</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w:t>
      </w:r>
      <w:r>
        <w:rPr>
          <w:rFonts w:hint="eastAsia" w:ascii="仿宋_GB2312" w:hAnsi="仿宋" w:eastAsia="仿宋_GB2312" w:cs="仿宋"/>
          <w:color w:val="000000" w:themeColor="text1"/>
          <w:sz w:val="32"/>
          <w:szCs w:val="32"/>
          <w:lang w:eastAsia="zh-CN"/>
          <w14:textFill>
            <w14:solidFill>
              <w14:schemeClr w14:val="tx1"/>
            </w14:solidFill>
          </w14:textFill>
        </w:rPr>
        <w:t>被申请人开展了调查。</w:t>
      </w:r>
      <w:r>
        <w:rPr>
          <w:rFonts w:hint="eastAsia" w:ascii="仿宋_GB2312" w:hAnsi="仿宋" w:eastAsia="仿宋_GB2312" w:cs="仿宋"/>
          <w:color w:val="000000" w:themeColor="text1"/>
          <w:sz w:val="32"/>
          <w:szCs w:val="32"/>
          <w:lang w:val="en-US" w:eastAsia="zh-CN"/>
          <w14:textFill>
            <w14:solidFill>
              <w14:schemeClr w14:val="tx1"/>
            </w14:solidFill>
          </w14:textFill>
        </w:rPr>
        <w:t>2024年1月15日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2023年1月19日，</w:t>
      </w:r>
      <w:r>
        <w:rPr>
          <w:rFonts w:hint="eastAsia" w:ascii="仿宋_GB2312" w:hAnsi="仿宋" w:eastAsia="仿宋_GB2312" w:cs="仿宋"/>
          <w:color w:val="000000" w:themeColor="text1"/>
          <w:sz w:val="32"/>
          <w:szCs w:val="32"/>
          <w:lang w:eastAsia="zh-CN"/>
          <w14:textFill>
            <w14:solidFill>
              <w14:schemeClr w14:val="tx1"/>
            </w14:solidFill>
          </w14:textFill>
        </w:rPr>
        <w:t>将处理结果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通过12315平台对申请人进行了告知</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24</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6B0F7835">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另查明申请人在全国12315平台共计进行了</w:t>
      </w:r>
      <w:r>
        <w:rPr>
          <w:rFonts w:hint="eastAsia" w:ascii="仿宋_GB2312" w:hAnsi="仿宋" w:eastAsia="仿宋_GB2312" w:cs="仿宋"/>
          <w:color w:val="000000" w:themeColor="text1"/>
          <w:sz w:val="32"/>
          <w:szCs w:val="32"/>
          <w:lang w:val="en-US" w:eastAsia="zh-CN"/>
          <w14:textFill>
            <w14:solidFill>
              <w14:schemeClr w14:val="tx1"/>
            </w14:solidFill>
          </w14:textFill>
        </w:rPr>
        <w:t>497</w:t>
      </w:r>
      <w:r>
        <w:rPr>
          <w:rFonts w:hint="eastAsia" w:ascii="仿宋_GB2312" w:hAnsi="仿宋" w:eastAsia="仿宋_GB2312" w:cs="仿宋"/>
          <w:color w:val="000000" w:themeColor="text1"/>
          <w:sz w:val="32"/>
          <w:szCs w:val="32"/>
          <w:lang w:eastAsia="zh-CN"/>
          <w14:textFill>
            <w14:solidFill>
              <w14:schemeClr w14:val="tx1"/>
            </w14:solidFill>
          </w14:textFill>
        </w:rPr>
        <w:t>次投诉，</w:t>
      </w:r>
      <w:r>
        <w:rPr>
          <w:rFonts w:hint="eastAsia" w:ascii="仿宋_GB2312" w:hAnsi="仿宋" w:eastAsia="仿宋_GB2312" w:cs="仿宋"/>
          <w:color w:val="000000" w:themeColor="text1"/>
          <w:sz w:val="32"/>
          <w:szCs w:val="32"/>
          <w:lang w:val="en-US" w:eastAsia="zh-CN"/>
          <w14:textFill>
            <w14:solidFill>
              <w14:schemeClr w14:val="tx1"/>
            </w14:solidFill>
          </w14:textFill>
        </w:rPr>
        <w:t>1123</w:t>
      </w:r>
      <w:r>
        <w:rPr>
          <w:rFonts w:hint="eastAsia" w:ascii="仿宋_GB2312" w:hAnsi="仿宋" w:eastAsia="仿宋_GB2312" w:cs="仿宋"/>
          <w:color w:val="000000" w:themeColor="text1"/>
          <w:sz w:val="32"/>
          <w:szCs w:val="32"/>
          <w:lang w:eastAsia="zh-CN"/>
          <w14:textFill>
            <w14:solidFill>
              <w14:schemeClr w14:val="tx1"/>
            </w14:solidFill>
          </w14:textFill>
        </w:rPr>
        <w:t>次举报，</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2023年11月-2024年1月在我县</w:t>
      </w:r>
      <w:r>
        <w:rPr>
          <w:rFonts w:hint="eastAsia" w:ascii="仿宋_GB2312" w:hAnsi="仿宋" w:eastAsia="仿宋_GB2312" w:cs="仿宋"/>
          <w:color w:val="000000" w:themeColor="text1"/>
          <w:sz w:val="32"/>
          <w:szCs w:val="32"/>
          <w:lang w:eastAsia="zh-CN"/>
          <w14:textFill>
            <w14:solidFill>
              <w14:schemeClr w14:val="tx1"/>
            </w14:solidFill>
          </w14:textFill>
        </w:rPr>
        <w:t>申请了</w:t>
      </w:r>
      <w:r>
        <w:rPr>
          <w:rFonts w:hint="eastAsia" w:ascii="仿宋_GB2312" w:hAnsi="仿宋" w:eastAsia="仿宋_GB2312" w:cs="仿宋"/>
          <w:color w:val="000000" w:themeColor="text1"/>
          <w:sz w:val="32"/>
          <w:szCs w:val="32"/>
          <w:lang w:val="en-US" w:eastAsia="zh-CN"/>
          <w14:textFill>
            <w14:solidFill>
              <w14:schemeClr w14:val="tx1"/>
            </w14:solidFill>
          </w14:textFill>
        </w:rPr>
        <w:t>3次</w:t>
      </w:r>
      <w:r>
        <w:rPr>
          <w:rFonts w:hint="eastAsia" w:ascii="仿宋_GB2312" w:hAnsi="仿宋" w:eastAsia="仿宋_GB2312" w:cs="仿宋"/>
          <w:color w:val="000000" w:themeColor="text1"/>
          <w:sz w:val="32"/>
          <w:szCs w:val="32"/>
          <w:lang w:eastAsia="zh-CN"/>
          <w14:textFill>
            <w14:solidFill>
              <w14:schemeClr w14:val="tx1"/>
            </w14:solidFill>
          </w14:textFill>
        </w:rPr>
        <w:t>行政复议。申请人投诉举报内容高度一致，表格化，模板化。</w:t>
      </w:r>
    </w:p>
    <w:p w14:paraId="42C1D2F8">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本机关认为：</w:t>
      </w:r>
    </w:p>
    <w:p w14:paraId="04C9D465">
      <w:pPr>
        <w:spacing w:after="0" w:line="576" w:lineRule="exact"/>
        <w:ind w:firstLine="640" w:firstLineChars="200"/>
        <w:jc w:val="both"/>
        <w:rPr>
          <w:rFonts w:ascii="仿宋_GB2312" w:eastAsia="仿宋_GB2312"/>
          <w:sz w:val="32"/>
          <w:szCs w:val="32"/>
        </w:rPr>
      </w:pPr>
      <w:r>
        <w:rPr>
          <w:rFonts w:hint="eastAsia" w:ascii="仿宋_GB2312" w:hAnsi="仿宋" w:eastAsia="仿宋_GB2312" w:cs="仿宋"/>
          <w:color w:val="000000" w:themeColor="text1"/>
          <w:sz w:val="32"/>
          <w:szCs w:val="32"/>
          <w:lang w:eastAsia="zh-CN"/>
          <w14:textFill>
            <w14:solidFill>
              <w14:schemeClr w14:val="tx1"/>
            </w14:solidFill>
          </w14:textFill>
        </w:rPr>
        <w:t>《中华人民共和国行政复议法》第六条第十一项规定：“有下列情形之一的，公民、法人或者其他组织可以依</w:t>
      </w:r>
      <w:r>
        <w:rPr>
          <w:rFonts w:hint="eastAsia" w:ascii="仿宋_GB2312" w:hAnsi="仿宋" w:eastAsia="仿宋_GB2312" w:cs="仿宋"/>
          <w:color w:val="000000" w:themeColor="text1"/>
          <w:sz w:val="32"/>
          <w:szCs w:val="32"/>
          <w14:textFill>
            <w14:solidFill>
              <w14:schemeClr w14:val="tx1"/>
            </w14:solidFill>
          </w14:textFill>
        </w:rPr>
        <w:t>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595BF4AC">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497</w:t>
      </w:r>
      <w:r>
        <w:rPr>
          <w:rFonts w:hint="eastAsia" w:ascii="仿宋_GB2312" w:eastAsia="仿宋_GB2312"/>
          <w:sz w:val="32"/>
          <w:szCs w:val="32"/>
        </w:rPr>
        <w:t>次投诉，</w:t>
      </w:r>
      <w:r>
        <w:rPr>
          <w:rFonts w:hint="eastAsia" w:ascii="仿宋_GB2312" w:eastAsia="仿宋_GB2312"/>
          <w:sz w:val="32"/>
          <w:szCs w:val="32"/>
          <w:lang w:val="en-US" w:eastAsia="zh-CN"/>
        </w:rPr>
        <w:t>1123</w:t>
      </w:r>
      <w:r>
        <w:rPr>
          <w:rFonts w:hint="eastAsia" w:ascii="仿宋_GB2312" w:eastAsia="仿宋_GB2312"/>
          <w:sz w:val="32"/>
          <w:szCs w:val="32"/>
        </w:rPr>
        <w:t>次举报，申请人购买、使用商品的数量和投诉、举报商品的次数明显超出合理生活消费范围。</w:t>
      </w:r>
    </w:p>
    <w:p w14:paraId="0EFFE2E0">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w:t>
      </w:r>
      <w:r>
        <w:rPr>
          <w:rFonts w:hint="eastAsia" w:ascii="仿宋_GB2312" w:eastAsia="仿宋_GB2312"/>
          <w:sz w:val="32"/>
          <w:szCs w:val="32"/>
          <w:lang w:val="en-US" w:eastAsia="zh-CN"/>
        </w:rPr>
        <w:t>在2023年11月-2024年1月，短短时间内对投诉举报不服，</w:t>
      </w:r>
      <w:r>
        <w:rPr>
          <w:rFonts w:hint="eastAsia" w:ascii="仿宋_GB2312" w:eastAsia="仿宋_GB2312"/>
          <w:sz w:val="32"/>
          <w:szCs w:val="32"/>
        </w:rPr>
        <w:t>申请了</w:t>
      </w:r>
      <w:r>
        <w:rPr>
          <w:rFonts w:hint="eastAsia" w:ascii="仿宋_GB2312" w:eastAsia="仿宋_GB2312"/>
          <w:sz w:val="32"/>
          <w:szCs w:val="32"/>
          <w:lang w:val="en-US" w:eastAsia="zh-CN"/>
        </w:rPr>
        <w:t>3次</w:t>
      </w:r>
      <w:r>
        <w:rPr>
          <w:rFonts w:hint="eastAsia" w:ascii="仿宋_GB2312" w:eastAsia="仿宋_GB2312"/>
          <w:sz w:val="32"/>
          <w:szCs w:val="32"/>
        </w:rPr>
        <w:t>行政复议。申请人</w:t>
      </w:r>
      <w:r>
        <w:rPr>
          <w:rFonts w:hint="eastAsia" w:ascii="仿宋_GB2312" w:hAnsi="仿宋" w:eastAsia="仿宋_GB2312" w:cs="仿宋"/>
          <w:color w:val="000000" w:themeColor="text1"/>
          <w:sz w:val="32"/>
          <w:szCs w:val="32"/>
          <w14:textFill>
            <w14:solidFill>
              <w14:schemeClr w14:val="tx1"/>
            </w14:solidFill>
          </w14:textFill>
        </w:rPr>
        <w:t>投诉举报内容高度一致，表格化，模板化。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305C4164">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35D1BD13">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217B336C">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50469B7E">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629246F3">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通化县人民政府</w:t>
      </w:r>
    </w:p>
    <w:p w14:paraId="3081C939">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 xml:space="preserve">  二〇二四年三月</w:t>
      </w:r>
      <w:r>
        <w:rPr>
          <w:rFonts w:hint="eastAsia" w:eastAsia="仿宋_GB2312"/>
          <w:color w:val="000000"/>
          <w:sz w:val="32"/>
          <w:szCs w:val="32"/>
          <w:lang w:val="en-US" w:eastAsia="zh-CN"/>
        </w:rPr>
        <w:t>十九</w:t>
      </w:r>
      <w:r>
        <w:rPr>
          <w:rFonts w:hint="eastAsia" w:ascii="Times New Roman" w:hAnsi="Times New Roman" w:eastAsia="仿宋_GB2312"/>
          <w:color w:val="000000"/>
          <w:sz w:val="32"/>
          <w:szCs w:val="32"/>
          <w:lang w:val="en-US" w:eastAsia="zh-CN"/>
        </w:rPr>
        <w:t>日</w:t>
      </w:r>
    </w:p>
    <w:p w14:paraId="15B1B819"/>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1E1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73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973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71D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73F54FD"/>
    <w:rsid w:val="087C4131"/>
    <w:rsid w:val="10960B84"/>
    <w:rsid w:val="19856C4C"/>
    <w:rsid w:val="1C3E1D3E"/>
    <w:rsid w:val="246F477F"/>
    <w:rsid w:val="2C502AD7"/>
    <w:rsid w:val="30225346"/>
    <w:rsid w:val="326D31C6"/>
    <w:rsid w:val="337A02B8"/>
    <w:rsid w:val="362905E6"/>
    <w:rsid w:val="37261FA2"/>
    <w:rsid w:val="4E4E5DB9"/>
    <w:rsid w:val="52E64215"/>
    <w:rsid w:val="58C53C0D"/>
    <w:rsid w:val="598F29D8"/>
    <w:rsid w:val="5C0F6FB7"/>
    <w:rsid w:val="5DEC7A21"/>
    <w:rsid w:val="5F930B54"/>
    <w:rsid w:val="619176A8"/>
    <w:rsid w:val="62D31D2E"/>
    <w:rsid w:val="65622202"/>
    <w:rsid w:val="775D5288"/>
    <w:rsid w:val="7AE239B5"/>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3260</Words>
  <Characters>3381</Characters>
  <Lines>0</Lines>
  <Paragraphs>0</Paragraphs>
  <TotalTime>12</TotalTime>
  <ScaleCrop>false</ScaleCrop>
  <LinksUpToDate>false</LinksUpToDate>
  <CharactersWithSpaces>3467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