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296BD">
      <w:pPr>
        <w:jc w:val="center"/>
        <w:rPr>
          <w:b/>
          <w:sz w:val="80"/>
          <w:szCs w:val="80"/>
        </w:rPr>
      </w:pPr>
      <w:r>
        <w:rPr>
          <w:b/>
          <w:sz w:val="80"/>
          <w:szCs w:val="80"/>
        </w:rPr>
        <mc:AlternateContent>
          <mc:Choice Requires="wps">
            <w:drawing>
              <wp:anchor distT="0" distB="0" distL="114300" distR="114300" simplePos="0" relativeHeight="251659264" behindDoc="0" locked="0" layoutInCell="1" allowOverlap="1">
                <wp:simplePos x="0" y="0"/>
                <wp:positionH relativeFrom="column">
                  <wp:posOffset>381000</wp:posOffset>
                </wp:positionH>
                <wp:positionV relativeFrom="page">
                  <wp:posOffset>735965</wp:posOffset>
                </wp:positionV>
                <wp:extent cx="1253490" cy="407035"/>
                <wp:effectExtent l="0" t="0" r="22860" b="12065"/>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F488D1B"/>
                        </w:txbxContent>
                      </wps:txbx>
                      <wps:bodyPr upright="1"/>
                    </wps:wsp>
                  </a:graphicData>
                </a:graphic>
              </wp:anchor>
            </w:drawing>
          </mc:Choice>
          <mc:Fallback>
            <w:pict>
              <v:shape id="_x0000_s1026" o:spid="_x0000_s1026" o:spt="202" type="#_x0000_t202" style="position:absolute;left:0pt;margin-left:30pt;margin-top:57.95pt;height:32.05pt;width:98.7pt;mso-position-vertical-relative:page;z-index:251659264;mso-width-relative:page;mso-height-relative:page;" fillcolor="#FFFFFF" filled="t" stroked="t" coordsize="21600,21600" o:gfxdata="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xsXotgAAAAKAQAADwAAAAAAAAABACAAAAAiAAAA&#10;ZHJzL2Rvd25yZXYueG1sUEsBAhQAFAAAAAgAh07iQKOQiS4HAgAAOAQAAA4AAAAAAAAAAQAgAAAA&#10;JwEAAGRycy9lMm9Eb2MueG1sUEsFBgAAAAAGAAYAWQEAAKAFAAAAAA==&#10;">
                <v:fill on="t" focussize="0,0"/>
                <v:stroke color="#FFFFFF" joinstyle="miter"/>
                <v:imagedata o:title=""/>
                <o:lock v:ext="edit" aspectratio="f"/>
                <v:textbox>
                  <w:txbxContent>
                    <w:p w14:paraId="4F488D1B"/>
                  </w:txbxContent>
                </v:textbox>
              </v:shape>
            </w:pict>
          </mc:Fallback>
        </mc:AlternateContent>
      </w:r>
    </w:p>
    <w:p w14:paraId="3C6755A3">
      <w:pPr>
        <w:jc w:val="center"/>
        <w:rPr>
          <w:b/>
          <w:sz w:val="80"/>
          <w:szCs w:val="80"/>
        </w:rPr>
      </w:pPr>
      <w:r>
        <w:rPr>
          <w:rFonts w:hint="eastAsia"/>
          <w:b/>
          <w:sz w:val="80"/>
          <w:szCs w:val="80"/>
        </w:rPr>
        <w:t>通 化 县</w:t>
      </w:r>
      <w:r>
        <w:rPr>
          <w:b/>
          <w:sz w:val="80"/>
          <w:szCs w:val="80"/>
        </w:rPr>
        <w:t xml:space="preserve"> 人 民 政 府</w:t>
      </w:r>
    </w:p>
    <w:p w14:paraId="634D12D9">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1ED8F75C">
      <w:pPr>
        <w:spacing w:line="300" w:lineRule="exact"/>
        <w:jc w:val="center"/>
        <w:rPr>
          <w:rFonts w:ascii="方正小标宋简体" w:eastAsia="方正小标宋简体"/>
          <w:sz w:val="44"/>
          <w:szCs w:val="44"/>
        </w:rPr>
      </w:pPr>
    </w:p>
    <w:p w14:paraId="049646D0">
      <w:pPr>
        <w:spacing w:line="576" w:lineRule="exact"/>
        <w:jc w:val="center"/>
        <w:rPr>
          <w:rFonts w:eastAsia="仿宋_GB2312"/>
          <w:color w:val="000000"/>
          <w:sz w:val="32"/>
          <w:szCs w:val="32"/>
        </w:rPr>
      </w:pPr>
      <w:r>
        <w:rPr>
          <w:rFonts w:eastAsia="方正小标宋简体"/>
          <w:sz w:val="44"/>
          <w:szCs w:val="44"/>
        </w:rPr>
        <w:t>行政复议决定书</w:t>
      </w:r>
    </w:p>
    <w:p w14:paraId="14274A7E">
      <w:pPr>
        <w:spacing w:line="576" w:lineRule="exact"/>
        <w:ind w:firstLine="5120" w:firstLineChars="1600"/>
        <w:rPr>
          <w:rFonts w:eastAsia="仿宋_GB2312"/>
          <w:color w:val="000000"/>
          <w:sz w:val="32"/>
          <w:szCs w:val="32"/>
        </w:rPr>
      </w:pPr>
    </w:p>
    <w:p w14:paraId="42618EB4">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4</w:t>
      </w:r>
      <w:r>
        <w:rPr>
          <w:rFonts w:ascii="仿宋_GB2312" w:hAnsi="仿宋" w:eastAsia="仿宋_GB2312" w:cs="仿宋"/>
          <w:sz w:val="32"/>
          <w:szCs w:val="32"/>
        </w:rPr>
        <w:t>〕</w:t>
      </w:r>
      <w:r>
        <w:rPr>
          <w:rFonts w:hint="eastAsia" w:ascii="仿宋_GB2312" w:hAnsi="仿宋" w:eastAsia="仿宋_GB2312" w:cs="仿宋"/>
          <w:sz w:val="32"/>
          <w:szCs w:val="32"/>
        </w:rPr>
        <w:t>87</w:t>
      </w:r>
      <w:r>
        <w:rPr>
          <w:rFonts w:ascii="仿宋_GB2312" w:hAnsi="仿宋" w:eastAsia="仿宋_GB2312" w:cs="仿宋"/>
          <w:sz w:val="32"/>
          <w:szCs w:val="32"/>
        </w:rPr>
        <w:t>号</w:t>
      </w:r>
    </w:p>
    <w:p w14:paraId="763CE5E6">
      <w:pPr>
        <w:spacing w:line="576" w:lineRule="exact"/>
        <w:ind w:firstLine="643" w:firstLineChars="200"/>
        <w:rPr>
          <w:rFonts w:hint="eastAsia" w:eastAsia="仿宋_GB2312"/>
          <w:color w:val="000000"/>
          <w:sz w:val="32"/>
          <w:szCs w:val="32"/>
          <w:lang w:val="en-US" w:eastAsia="zh-CN"/>
        </w:rPr>
      </w:pPr>
      <w:r>
        <w:rPr>
          <w:rFonts w:hint="eastAsia" w:eastAsia="仿宋_GB2312"/>
          <w:b/>
          <w:bCs/>
          <w:color w:val="000000"/>
          <w:sz w:val="32"/>
          <w:szCs w:val="32"/>
        </w:rPr>
        <w:t>申 请 人：</w:t>
      </w:r>
      <w:r>
        <w:rPr>
          <w:rFonts w:hint="eastAsia" w:eastAsia="仿宋_GB2312"/>
          <w:color w:val="000000"/>
          <w:sz w:val="32"/>
          <w:szCs w:val="32"/>
        </w:rPr>
        <w:t>祁</w:t>
      </w:r>
      <w:r>
        <w:rPr>
          <w:rFonts w:hint="eastAsia" w:eastAsia="仿宋_GB2312"/>
          <w:color w:val="000000"/>
          <w:sz w:val="32"/>
          <w:szCs w:val="32"/>
          <w:lang w:val="en-US" w:eastAsia="zh-CN"/>
        </w:rPr>
        <w:t>某某</w:t>
      </w:r>
    </w:p>
    <w:p w14:paraId="194C9F52">
      <w:pPr>
        <w:spacing w:line="576" w:lineRule="exact"/>
        <w:ind w:firstLine="643" w:firstLineChars="200"/>
        <w:rPr>
          <w:rFonts w:eastAsia="仿宋_GB2312"/>
          <w:color w:val="000000"/>
          <w:sz w:val="32"/>
          <w:szCs w:val="32"/>
        </w:rPr>
      </w:pPr>
      <w:r>
        <w:rPr>
          <w:rFonts w:hint="eastAsia" w:eastAsia="仿宋_GB2312"/>
          <w:b/>
          <w:bCs/>
          <w:color w:val="000000"/>
          <w:sz w:val="32"/>
          <w:szCs w:val="32"/>
        </w:rPr>
        <w:t>被申请人：</w:t>
      </w:r>
      <w:r>
        <w:rPr>
          <w:rFonts w:hint="eastAsia" w:eastAsia="仿宋_GB2312"/>
          <w:color w:val="000000"/>
          <w:sz w:val="32"/>
          <w:szCs w:val="32"/>
        </w:rPr>
        <w:t>通化县林业局</w:t>
      </w:r>
    </w:p>
    <w:p w14:paraId="2B88BC85">
      <w:pPr>
        <w:spacing w:line="576" w:lineRule="exact"/>
        <w:ind w:firstLine="643" w:firstLineChars="200"/>
        <w:rPr>
          <w:rFonts w:ascii="仿宋_GB2312" w:hAnsi="仿宋" w:eastAsia="仿宋_GB2312" w:cs="仿宋"/>
          <w:sz w:val="32"/>
          <w:szCs w:val="32"/>
        </w:rPr>
      </w:pPr>
      <w:r>
        <w:rPr>
          <w:rFonts w:hint="eastAsia" w:eastAsia="仿宋_GB2312"/>
          <w:b/>
          <w:bCs/>
          <w:color w:val="000000"/>
          <w:sz w:val="32"/>
          <w:szCs w:val="32"/>
        </w:rPr>
        <w:t>住    所</w:t>
      </w:r>
      <w:r>
        <w:rPr>
          <w:rFonts w:hint="eastAsia" w:eastAsia="仿宋_GB2312"/>
          <w:color w:val="000000"/>
          <w:sz w:val="32"/>
          <w:szCs w:val="32"/>
        </w:rPr>
        <w:t>：</w:t>
      </w:r>
      <w:r>
        <w:rPr>
          <w:rFonts w:hint="eastAsia" w:ascii="仿宋_GB2312" w:hAnsi="仿宋" w:eastAsia="仿宋_GB2312" w:cs="仿宋"/>
          <w:sz w:val="32"/>
          <w:szCs w:val="32"/>
        </w:rPr>
        <w:t>通化县快大茂镇团结路1777号</w:t>
      </w:r>
    </w:p>
    <w:p w14:paraId="372107BB">
      <w:pPr>
        <w:spacing w:line="576" w:lineRule="exact"/>
        <w:ind w:firstLine="640" w:firstLineChars="200"/>
        <w:rPr>
          <w:rFonts w:eastAsia="仿宋_GB2312"/>
          <w:color w:val="000000"/>
          <w:sz w:val="32"/>
          <w:szCs w:val="32"/>
        </w:rPr>
      </w:pPr>
      <w:bookmarkStart w:id="0" w:name="_GoBack"/>
      <w:bookmarkEnd w:id="0"/>
      <w:r>
        <w:rPr>
          <w:rFonts w:hint="eastAsia" w:ascii="仿宋_GB2312" w:hAnsi="仿宋" w:eastAsia="仿宋_GB2312" w:cs="仿宋"/>
          <w:sz w:val="32"/>
          <w:szCs w:val="32"/>
        </w:rPr>
        <w:t>申请人不服通化县林业局未在法定期限内作出采伐许可决定的行政行为。于2024年10月16日向通化县人民政府申请行政复议，本机关依法</w:t>
      </w:r>
      <w:r>
        <w:rPr>
          <w:rFonts w:hint="eastAsia" w:eastAsia="仿宋_GB2312"/>
          <w:color w:val="000000"/>
          <w:sz w:val="32"/>
          <w:szCs w:val="32"/>
        </w:rPr>
        <w:t>予以受理，现已审理终结。</w:t>
      </w:r>
    </w:p>
    <w:p w14:paraId="093272CB">
      <w:pPr>
        <w:spacing w:line="576" w:lineRule="exact"/>
        <w:ind w:firstLine="643" w:firstLineChars="200"/>
        <w:rPr>
          <w:rFonts w:ascii="仿宋_GB2312" w:hAnsi="仿宋" w:eastAsia="仿宋_GB2312" w:cs="仿宋"/>
          <w:sz w:val="32"/>
          <w:szCs w:val="32"/>
        </w:rPr>
      </w:pPr>
      <w:r>
        <w:rPr>
          <w:rFonts w:hint="eastAsia" w:eastAsia="仿宋_GB2312"/>
          <w:b/>
          <w:bCs/>
          <w:color w:val="000000"/>
          <w:sz w:val="32"/>
          <w:szCs w:val="32"/>
        </w:rPr>
        <w:t>申请人请求：</w:t>
      </w:r>
      <w:r>
        <w:rPr>
          <w:rFonts w:hint="eastAsia" w:ascii="仿宋_GB2312" w:hAnsi="仿宋" w:eastAsia="仿宋_GB2312" w:cs="仿宋"/>
          <w:sz w:val="32"/>
          <w:szCs w:val="32"/>
        </w:rPr>
        <w:t>1、确认被申请人未在法定期限内作出采伐许可决定的行政行为违法；2、责令被申请人限期履职。</w:t>
      </w:r>
    </w:p>
    <w:p w14:paraId="6F6A91C3">
      <w:pPr>
        <w:spacing w:line="576" w:lineRule="exact"/>
        <w:ind w:firstLine="643" w:firstLineChars="200"/>
        <w:rPr>
          <w:rFonts w:eastAsia="仿宋_GB2312"/>
          <w:color w:val="000000"/>
          <w:sz w:val="32"/>
          <w:szCs w:val="32"/>
        </w:rPr>
      </w:pPr>
      <w:r>
        <w:rPr>
          <w:rFonts w:hint="eastAsia" w:eastAsia="仿宋_GB2312"/>
          <w:b/>
          <w:bCs/>
          <w:color w:val="000000"/>
          <w:sz w:val="32"/>
          <w:szCs w:val="32"/>
        </w:rPr>
        <w:t>申请人称：</w:t>
      </w:r>
      <w:r>
        <w:rPr>
          <w:rFonts w:hint="eastAsia" w:eastAsia="仿宋_GB2312"/>
          <w:color w:val="000000"/>
          <w:sz w:val="32"/>
          <w:szCs w:val="32"/>
        </w:rPr>
        <w:t>被申请人未在法定期限内对采伐许可作出决定，属于行政不作为。主要理由是：</w:t>
      </w:r>
    </w:p>
    <w:p w14:paraId="6666D2A2">
      <w:pPr>
        <w:spacing w:line="576" w:lineRule="exact"/>
        <w:ind w:firstLine="640" w:firstLineChars="200"/>
        <w:rPr>
          <w:rFonts w:eastAsia="仿宋_GB2312"/>
          <w:color w:val="000000"/>
          <w:sz w:val="32"/>
          <w:szCs w:val="32"/>
        </w:rPr>
      </w:pPr>
      <w:r>
        <w:rPr>
          <w:rFonts w:hint="eastAsia" w:eastAsia="仿宋_GB2312"/>
          <w:color w:val="000000"/>
          <w:sz w:val="32"/>
          <w:szCs w:val="32"/>
        </w:rPr>
        <w:t>一、被申请人是采伐行政许可审批主体。</w:t>
      </w:r>
    </w:p>
    <w:p w14:paraId="11AB872B">
      <w:pPr>
        <w:spacing w:line="576" w:lineRule="exact"/>
        <w:ind w:firstLine="640" w:firstLineChars="200"/>
        <w:rPr>
          <w:rFonts w:eastAsia="仿宋_GB2312"/>
          <w:color w:val="000000"/>
          <w:sz w:val="32"/>
          <w:szCs w:val="32"/>
        </w:rPr>
      </w:pPr>
      <w:r>
        <w:rPr>
          <w:rFonts w:hint="eastAsia" w:eastAsia="仿宋_GB2312"/>
          <w:color w:val="000000"/>
          <w:sz w:val="32"/>
          <w:szCs w:val="32"/>
        </w:rPr>
        <w:t>二、申请人已将相关材料交至光华镇林业站。</w:t>
      </w:r>
    </w:p>
    <w:p w14:paraId="7C6D28D3">
      <w:pPr>
        <w:spacing w:line="576" w:lineRule="exact"/>
        <w:ind w:firstLine="643" w:firstLineChars="200"/>
        <w:rPr>
          <w:rFonts w:eastAsia="仿宋_GB2312"/>
          <w:color w:val="000000"/>
          <w:sz w:val="32"/>
          <w:szCs w:val="32"/>
        </w:rPr>
      </w:pPr>
      <w:r>
        <w:rPr>
          <w:rFonts w:hint="eastAsia" w:eastAsia="仿宋_GB2312"/>
          <w:b/>
          <w:bCs/>
          <w:color w:val="000000"/>
          <w:sz w:val="32"/>
          <w:szCs w:val="32"/>
        </w:rPr>
        <w:t>被申请人答复称：</w:t>
      </w:r>
      <w:r>
        <w:rPr>
          <w:rFonts w:hint="eastAsia" w:eastAsia="仿宋_GB2312"/>
          <w:color w:val="000000"/>
          <w:sz w:val="32"/>
          <w:szCs w:val="32"/>
        </w:rPr>
        <w:t>被申请人不存在行政不作为的行为。主要理由是：</w:t>
      </w:r>
    </w:p>
    <w:p w14:paraId="02C42D4D">
      <w:pPr>
        <w:spacing w:line="576" w:lineRule="exact"/>
        <w:ind w:firstLine="640" w:firstLineChars="200"/>
        <w:rPr>
          <w:rFonts w:eastAsia="仿宋_GB2312"/>
          <w:color w:val="000000"/>
          <w:sz w:val="32"/>
          <w:szCs w:val="32"/>
        </w:rPr>
      </w:pPr>
      <w:r>
        <w:rPr>
          <w:rFonts w:hint="eastAsia" w:eastAsia="仿宋_GB2312"/>
          <w:color w:val="000000"/>
          <w:sz w:val="32"/>
          <w:szCs w:val="32"/>
        </w:rPr>
        <w:t>一、被申请人从未收到过申请人的书面采伐申请或电话申请。</w:t>
      </w:r>
    </w:p>
    <w:p w14:paraId="3B0AA62F">
      <w:pPr>
        <w:spacing w:line="576" w:lineRule="exact"/>
        <w:ind w:firstLine="640" w:firstLineChars="200"/>
        <w:rPr>
          <w:rFonts w:ascii="仿宋_GB2312" w:hAnsi="仿宋" w:eastAsia="仿宋_GB2312" w:cs="仿宋"/>
          <w:sz w:val="32"/>
          <w:szCs w:val="32"/>
        </w:rPr>
      </w:pPr>
      <w:r>
        <w:rPr>
          <w:rFonts w:hint="eastAsia" w:eastAsia="仿宋_GB2312"/>
          <w:color w:val="000000"/>
          <w:sz w:val="32"/>
          <w:szCs w:val="32"/>
        </w:rPr>
        <w:t>二、</w:t>
      </w:r>
      <w:r>
        <w:rPr>
          <w:rFonts w:hint="eastAsia" w:ascii="仿宋_GB2312" w:hAnsi="仿宋" w:eastAsia="仿宋_GB2312" w:cs="仿宋"/>
          <w:sz w:val="32"/>
          <w:szCs w:val="32"/>
        </w:rPr>
        <w:t>通化县2024年度集体及非林采伐计划，已下达至各乡镇综合服务中心。</w:t>
      </w:r>
    </w:p>
    <w:p w14:paraId="2296304C">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个人有采伐意愿的，需要凭林权证明材料向当地政府、村委会申请，取得采伐指标后，需进行调查设计、设计审批、公示等，最后由乡镇林业主管部门凭乡镇分解计划、合格的设计资料、采伐申请、林权证明等到林业局办理采伐许可证。</w:t>
      </w:r>
    </w:p>
    <w:p w14:paraId="76C78835">
      <w:pPr>
        <w:spacing w:line="576" w:lineRule="exact"/>
        <w:ind w:firstLine="643" w:firstLineChars="200"/>
        <w:rPr>
          <w:rFonts w:eastAsia="仿宋_GB2312"/>
          <w:color w:val="000000"/>
          <w:sz w:val="32"/>
          <w:szCs w:val="32"/>
        </w:rPr>
      </w:pPr>
      <w:r>
        <w:rPr>
          <w:rFonts w:hint="eastAsia" w:eastAsia="仿宋_GB2312"/>
          <w:b/>
          <w:bCs/>
          <w:color w:val="000000"/>
          <w:sz w:val="32"/>
          <w:szCs w:val="32"/>
        </w:rPr>
        <w:t>经审理查明</w:t>
      </w:r>
      <w:r>
        <w:rPr>
          <w:rFonts w:hint="eastAsia" w:eastAsia="仿宋_GB2312"/>
          <w:color w:val="000000"/>
          <w:sz w:val="32"/>
          <w:szCs w:val="32"/>
        </w:rPr>
        <w:t>：</w:t>
      </w:r>
      <w:r>
        <w:rPr>
          <w:rFonts w:hint="eastAsia" w:ascii="仿宋_GB2312" w:hAnsi="仿宋" w:eastAsia="仿宋_GB2312" w:cs="仿宋"/>
          <w:sz w:val="32"/>
          <w:szCs w:val="32"/>
        </w:rPr>
        <w:t>2024年9月1日，申请人向光华镇人民政府邮寄了申请办理采伐证的相关材料，2024年9月7日，光华镇人民政府工作人员通过微信，指导申请人补写了采伐申请书，并补交了相关材料，工作人员审核后将申请材料代交至光华镇人民政府林业站。2024年10月16日，申请人认为被申请人未在法定期限内对采伐许可作出具体行政行为，提起行政复议申请。另查明</w:t>
      </w:r>
      <w:r>
        <w:rPr>
          <w:rFonts w:hint="eastAsia" w:eastAsia="仿宋_GB2312"/>
          <w:color w:val="000000"/>
          <w:sz w:val="32"/>
          <w:szCs w:val="32"/>
        </w:rPr>
        <w:t>截至目前</w:t>
      </w:r>
      <w:r>
        <w:rPr>
          <w:rFonts w:hint="eastAsia" w:ascii="仿宋_GB2312" w:hAnsi="仿宋" w:eastAsia="仿宋_GB2312" w:cs="仿宋"/>
          <w:sz w:val="32"/>
          <w:szCs w:val="32"/>
        </w:rPr>
        <w:t>被</w:t>
      </w:r>
      <w:r>
        <w:rPr>
          <w:rFonts w:hint="eastAsia" w:eastAsia="仿宋_GB2312"/>
          <w:color w:val="000000"/>
          <w:sz w:val="32"/>
          <w:szCs w:val="32"/>
        </w:rPr>
        <w:t>申请人未收到申请人书面或电话采伐申请，也未收到申请人提交的采伐申请相关材料。</w:t>
      </w:r>
    </w:p>
    <w:p w14:paraId="5FC146B9">
      <w:pPr>
        <w:spacing w:line="576" w:lineRule="exact"/>
        <w:ind w:firstLine="643" w:firstLineChars="200"/>
        <w:rPr>
          <w:rFonts w:eastAsia="仿宋_GB2312"/>
          <w:b/>
          <w:bCs/>
          <w:color w:val="000000"/>
          <w:sz w:val="32"/>
          <w:szCs w:val="32"/>
        </w:rPr>
      </w:pPr>
      <w:r>
        <w:rPr>
          <w:rFonts w:hint="eastAsia" w:eastAsia="仿宋_GB2312"/>
          <w:b/>
          <w:bCs/>
          <w:color w:val="000000"/>
          <w:sz w:val="32"/>
          <w:szCs w:val="32"/>
        </w:rPr>
        <w:t>本机关认为：</w:t>
      </w:r>
    </w:p>
    <w:p w14:paraId="14C30F96">
      <w:pPr>
        <w:spacing w:line="576" w:lineRule="exact"/>
        <w:ind w:firstLine="640" w:firstLineChars="200"/>
        <w:rPr>
          <w:rFonts w:eastAsia="仿宋_GB2312"/>
          <w:color w:val="000000"/>
          <w:sz w:val="32"/>
          <w:szCs w:val="32"/>
        </w:rPr>
      </w:pPr>
      <w:r>
        <w:rPr>
          <w:rFonts w:hint="eastAsia" w:eastAsia="仿宋_GB2312"/>
          <w:color w:val="000000"/>
          <w:sz w:val="32"/>
          <w:szCs w:val="32"/>
        </w:rPr>
        <w:t>一、被申请人不存在行政不作为的情形。</w:t>
      </w:r>
    </w:p>
    <w:p w14:paraId="1A39A1F2">
      <w:pPr>
        <w:spacing w:line="576" w:lineRule="exact"/>
        <w:ind w:firstLine="640" w:firstLineChars="200"/>
        <w:rPr>
          <w:rFonts w:eastAsia="仿宋_GB2312"/>
          <w:color w:val="000000"/>
          <w:sz w:val="32"/>
          <w:szCs w:val="32"/>
        </w:rPr>
      </w:pPr>
      <w:r>
        <w:rPr>
          <w:rFonts w:hint="eastAsia" w:eastAsia="仿宋_GB2312"/>
          <w:color w:val="000000"/>
          <w:sz w:val="32"/>
          <w:szCs w:val="32"/>
        </w:rPr>
        <w:t>截至目前被申请人未收到申请人书面或电话采伐申请，也未收到申请人提交的采伐申请相关材料。被申请人虽然是林木采伐许可证的办理主体，但是根据《通化县集体林采伐指标分配管理办法》、《林木采伐许可证办理流程》规定，被申请人根据年度采伐限额，将采伐指标分解至各乡镇，林权所有者需持林权执照到所在乡镇林业站申请采伐指标，设计队依据采伐计划、林权执照对符合森林采伐条件的林木进行调查设计，出具森林采伐更新调查设计资料，被申请人核查设计质量，进行现地审批并出具设计质量检查报告，设计合格后，由林业站组织材料到被申请人处办理采伐许可证。按照上述规定，申请人将相关材料报至光华镇人民政府林业站后，光华镇人民政府的此项工作正在进行当中，申请人相关材料仍由光华镇人民政府林业站进行保管，</w:t>
      </w:r>
      <w:r>
        <w:rPr>
          <w:rFonts w:hint="eastAsia" w:eastAsia="仿宋_GB2312"/>
          <w:sz w:val="32"/>
          <w:szCs w:val="32"/>
        </w:rPr>
        <w:t>被申请人未收到完整的采伐许可申请材料，故未启动最终的批准程序</w:t>
      </w:r>
      <w:r>
        <w:rPr>
          <w:rFonts w:hint="eastAsia" w:eastAsia="仿宋_GB2312"/>
          <w:color w:val="000000"/>
          <w:sz w:val="32"/>
          <w:szCs w:val="32"/>
        </w:rPr>
        <w:t>，不存在行政不作为的情形。</w:t>
      </w:r>
    </w:p>
    <w:p w14:paraId="30067A16">
      <w:pPr>
        <w:spacing w:line="576" w:lineRule="exact"/>
        <w:ind w:firstLine="640" w:firstLineChars="200"/>
        <w:rPr>
          <w:rFonts w:eastAsia="仿宋_GB2312"/>
          <w:color w:val="000000"/>
          <w:sz w:val="32"/>
          <w:szCs w:val="32"/>
        </w:rPr>
      </w:pPr>
      <w:r>
        <w:rPr>
          <w:rFonts w:hint="eastAsia" w:eastAsia="仿宋_GB2312"/>
          <w:color w:val="000000"/>
          <w:sz w:val="32"/>
          <w:szCs w:val="32"/>
        </w:rPr>
        <w:t>二、申请人所申请的采伐许可证正在办理当中。</w:t>
      </w:r>
    </w:p>
    <w:p w14:paraId="0386682D">
      <w:pPr>
        <w:spacing w:line="576" w:lineRule="exact"/>
        <w:ind w:firstLine="640" w:firstLineChars="200"/>
        <w:rPr>
          <w:rFonts w:eastAsia="仿宋_GB2312"/>
          <w:color w:val="000000"/>
          <w:sz w:val="32"/>
          <w:szCs w:val="32"/>
        </w:rPr>
      </w:pPr>
      <w:r>
        <w:rPr>
          <w:rFonts w:hint="eastAsia" w:eastAsia="仿宋_GB2312"/>
          <w:color w:val="000000"/>
          <w:sz w:val="32"/>
          <w:szCs w:val="32"/>
        </w:rPr>
        <w:t>经与光华镇人民政府工作人员沟通，申请人所申请的采伐许可证正在办理当中，乡镇的办理流程结束后，乡镇会将申请材料统一报至被申请人处，被申请人应在10个工作日内予以办理，申请人请求</w:t>
      </w:r>
      <w:r>
        <w:rPr>
          <w:rFonts w:hint="eastAsia" w:ascii="仿宋_GB2312" w:hAnsi="仿宋" w:eastAsia="仿宋_GB2312" w:cs="仿宋"/>
          <w:sz w:val="32"/>
          <w:szCs w:val="32"/>
        </w:rPr>
        <w:t>确认被申请人未在法定期限内作出采伐许可决定的行政行为违法，</w:t>
      </w:r>
      <w:r>
        <w:rPr>
          <w:rFonts w:hint="eastAsia" w:eastAsia="仿宋_GB2312"/>
          <w:color w:val="000000"/>
          <w:sz w:val="32"/>
          <w:szCs w:val="32"/>
        </w:rPr>
        <w:t>本机关不予支持。</w:t>
      </w:r>
    </w:p>
    <w:p w14:paraId="56573314">
      <w:pPr>
        <w:spacing w:line="576" w:lineRule="exact"/>
        <w:ind w:firstLine="640" w:firstLineChars="200"/>
        <w:rPr>
          <w:rFonts w:eastAsia="仿宋_GB2312"/>
          <w:color w:val="000000"/>
          <w:sz w:val="32"/>
          <w:szCs w:val="32"/>
        </w:rPr>
      </w:pPr>
      <w:r>
        <w:rPr>
          <w:rFonts w:hint="eastAsia" w:eastAsia="仿宋_GB2312"/>
          <w:color w:val="000000"/>
          <w:sz w:val="32"/>
          <w:szCs w:val="32"/>
        </w:rPr>
        <w:t>综上，根据《中华人民共和国行政复议法》第六十九条、《中华人民共和国行政复议法实施条例》第四十八条第一款第（一）项的规定，本机关决定如下：</w:t>
      </w:r>
    </w:p>
    <w:p w14:paraId="6A4F70F6">
      <w:pPr>
        <w:spacing w:line="576" w:lineRule="exact"/>
        <w:ind w:firstLine="640" w:firstLineChars="200"/>
        <w:rPr>
          <w:rFonts w:eastAsia="仿宋_GB2312"/>
          <w:color w:val="000000"/>
          <w:sz w:val="32"/>
          <w:szCs w:val="32"/>
        </w:rPr>
      </w:pPr>
      <w:r>
        <w:rPr>
          <w:rFonts w:hint="eastAsia" w:eastAsia="仿宋_GB2312"/>
          <w:color w:val="000000"/>
          <w:sz w:val="32"/>
          <w:szCs w:val="32"/>
        </w:rPr>
        <w:t>驳回申请人的行政复议申请。</w:t>
      </w:r>
    </w:p>
    <w:p w14:paraId="04AD8063">
      <w:pPr>
        <w:spacing w:line="576" w:lineRule="exact"/>
        <w:ind w:firstLine="640" w:firstLineChars="200"/>
        <w:rPr>
          <w:rFonts w:ascii="仿宋_GB2312" w:hAnsi="仿宋" w:eastAsia="仿宋_GB2312" w:cs="仿宋"/>
          <w:sz w:val="32"/>
          <w:szCs w:val="32"/>
        </w:rPr>
      </w:pPr>
      <w:r>
        <w:rPr>
          <w:rFonts w:hint="eastAsia" w:eastAsia="仿宋_GB2312"/>
          <w:color w:val="000000"/>
          <w:sz w:val="32"/>
          <w:szCs w:val="32"/>
        </w:rPr>
        <w:t>本复议决定书一</w:t>
      </w:r>
      <w:r>
        <w:rPr>
          <w:rFonts w:hint="eastAsia" w:ascii="仿宋_GB2312" w:hAnsi="仿宋" w:eastAsia="仿宋_GB2312" w:cs="仿宋"/>
          <w:sz w:val="32"/>
          <w:szCs w:val="32"/>
        </w:rPr>
        <w:t>经送达，即发生法律效力。申请人如不服本决定，可自收到本复议决定书之日起15日内向人民法院提起诉讼。</w:t>
      </w:r>
    </w:p>
    <w:p w14:paraId="0F23027A">
      <w:pPr>
        <w:spacing w:line="576" w:lineRule="exact"/>
        <w:ind w:firstLine="640" w:firstLineChars="200"/>
        <w:rPr>
          <w:rFonts w:eastAsia="仿宋_GB2312"/>
          <w:color w:val="000000"/>
          <w:sz w:val="32"/>
          <w:szCs w:val="32"/>
        </w:rPr>
      </w:pPr>
    </w:p>
    <w:p w14:paraId="4D22B1C0">
      <w:pPr>
        <w:spacing w:line="576" w:lineRule="exact"/>
        <w:ind w:firstLine="640" w:firstLineChars="200"/>
        <w:rPr>
          <w:rFonts w:eastAsia="仿宋_GB2312"/>
          <w:color w:val="000000"/>
          <w:sz w:val="32"/>
          <w:szCs w:val="32"/>
        </w:rPr>
      </w:pPr>
    </w:p>
    <w:p w14:paraId="4709EBC4">
      <w:pPr>
        <w:spacing w:line="576" w:lineRule="exact"/>
        <w:ind w:firstLine="5120" w:firstLineChars="1600"/>
        <w:rPr>
          <w:rFonts w:ascii="仿宋_GB2312" w:hAnsi="仿宋" w:eastAsia="仿宋_GB2312" w:cs="仿宋"/>
          <w:sz w:val="32"/>
          <w:szCs w:val="32"/>
        </w:rPr>
      </w:pPr>
      <w:r>
        <w:rPr>
          <w:rFonts w:hint="eastAsia" w:ascii="仿宋_GB2312" w:hAnsi="仿宋" w:eastAsia="仿宋_GB2312" w:cs="仿宋"/>
          <w:sz w:val="32"/>
          <w:szCs w:val="32"/>
        </w:rPr>
        <w:t>通化县人民政府</w:t>
      </w:r>
    </w:p>
    <w:p w14:paraId="62A68FF3">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二〇二四年十二月十二日</w:t>
      </w:r>
    </w:p>
    <w:p w14:paraId="2AED3DA3">
      <w:pPr>
        <w:spacing w:line="576" w:lineRule="exact"/>
        <w:ind w:firstLine="640" w:firstLineChars="200"/>
        <w:rPr>
          <w:rFonts w:eastAsia="仿宋_GB2312"/>
          <w:color w:val="000000"/>
          <w:sz w:val="32"/>
          <w:szCs w:val="32"/>
        </w:rPr>
      </w:pPr>
    </w:p>
    <w:p w14:paraId="6A626051">
      <w:pPr>
        <w:spacing w:line="576" w:lineRule="exact"/>
        <w:rPr>
          <w:rFonts w:eastAsia="仿宋_GB2312"/>
          <w:color w:val="000000"/>
          <w:sz w:val="32"/>
          <w:szCs w:val="32"/>
        </w:rPr>
      </w:pPr>
      <w:r>
        <w:rPr>
          <w:rFonts w:hint="eastAsia" w:eastAsia="仿宋_GB2312"/>
          <w:color w:val="000000"/>
          <w:sz w:val="32"/>
          <w:szCs w:val="32"/>
        </w:rPr>
        <w:t xml:space="preserve">                                         </w:t>
      </w:r>
    </w:p>
    <w:p w14:paraId="5B15F5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943BC"/>
    <w:rsid w:val="00153230"/>
    <w:rsid w:val="0022307A"/>
    <w:rsid w:val="004B78A4"/>
    <w:rsid w:val="00A70A72"/>
    <w:rsid w:val="00D82FB9"/>
    <w:rsid w:val="00DB6C4E"/>
    <w:rsid w:val="00ED300E"/>
    <w:rsid w:val="00EE3A5D"/>
    <w:rsid w:val="0199609C"/>
    <w:rsid w:val="02E33476"/>
    <w:rsid w:val="030048AE"/>
    <w:rsid w:val="05444F97"/>
    <w:rsid w:val="066D34B4"/>
    <w:rsid w:val="087C4131"/>
    <w:rsid w:val="12335085"/>
    <w:rsid w:val="160809FE"/>
    <w:rsid w:val="19856C4C"/>
    <w:rsid w:val="1C3E1D3E"/>
    <w:rsid w:val="1CC94187"/>
    <w:rsid w:val="1D0B6B91"/>
    <w:rsid w:val="1E5351FB"/>
    <w:rsid w:val="1F242E26"/>
    <w:rsid w:val="1FB7468E"/>
    <w:rsid w:val="20951910"/>
    <w:rsid w:val="23633B96"/>
    <w:rsid w:val="246F477F"/>
    <w:rsid w:val="28187223"/>
    <w:rsid w:val="29B36EBE"/>
    <w:rsid w:val="2E433058"/>
    <w:rsid w:val="2E7762FF"/>
    <w:rsid w:val="30225346"/>
    <w:rsid w:val="326D31C6"/>
    <w:rsid w:val="33474502"/>
    <w:rsid w:val="362905E6"/>
    <w:rsid w:val="3712554E"/>
    <w:rsid w:val="448E426B"/>
    <w:rsid w:val="4674572E"/>
    <w:rsid w:val="471139C9"/>
    <w:rsid w:val="4D3D5C1A"/>
    <w:rsid w:val="598F29D8"/>
    <w:rsid w:val="5AE6312D"/>
    <w:rsid w:val="5C0F6FB7"/>
    <w:rsid w:val="5DEC7A21"/>
    <w:rsid w:val="5DF96F10"/>
    <w:rsid w:val="5E514A2D"/>
    <w:rsid w:val="5FAC32F3"/>
    <w:rsid w:val="620E0665"/>
    <w:rsid w:val="65622202"/>
    <w:rsid w:val="676E1B83"/>
    <w:rsid w:val="6FC74BD4"/>
    <w:rsid w:val="73017F4F"/>
    <w:rsid w:val="775D5288"/>
    <w:rsid w:val="777236FA"/>
    <w:rsid w:val="79CC7332"/>
    <w:rsid w:val="7B575482"/>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Normal (Web)"/>
    <w:basedOn w:val="1"/>
    <w:autoRedefine/>
    <w:semiHidden/>
    <w:unhideWhenUsed/>
    <w:qFormat/>
    <w:uiPriority w:val="99"/>
    <w:pPr>
      <w:spacing w:before="100" w:beforeAutospacing="1" w:after="100"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1393</Words>
  <Characters>1442</Characters>
  <Lines>11</Lines>
  <Paragraphs>3</Paragraphs>
  <TotalTime>17</TotalTime>
  <ScaleCrop>false</ScaleCrop>
  <LinksUpToDate>false</LinksUpToDate>
  <CharactersWithSpaces>1520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2024-12-12T06:27:00Z</dcterms:created>
  <dc:creator>miss</dc:creator>
  <cp:lastModifiedBy>miss</cp:lastModifiedBy>
  <cp:lastPrinted>2024-05-17T07:54:00Z</cp:lastPrinted>
  <dcterms:modified xsi:type="dcterms:W3CDTF">2025-06-13T09:00:32Z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