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5CEE">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5B1B03D">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35B1B03D">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0A53466">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1B18C551">
      <w:pPr>
        <w:spacing w:line="300" w:lineRule="exact"/>
        <w:jc w:val="center"/>
        <w:rPr>
          <w:rFonts w:hint="eastAsia" w:ascii="方正小标宋简体" w:eastAsia="方正小标宋简体"/>
          <w:sz w:val="44"/>
          <w:szCs w:val="44"/>
        </w:rPr>
      </w:pPr>
    </w:p>
    <w:p w14:paraId="1F781F9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436294F8">
      <w:pPr>
        <w:spacing w:after="0" w:line="576" w:lineRule="exact"/>
        <w:ind w:firstLine="5120" w:firstLineChars="1600"/>
        <w:jc w:val="both"/>
        <w:rPr>
          <w:rFonts w:hint="eastAsia" w:ascii="Times New Roman" w:hAnsi="Times New Roman" w:eastAsia="仿宋_GB2312"/>
          <w:color w:val="000000"/>
          <w:sz w:val="32"/>
          <w:szCs w:val="32"/>
          <w:lang w:val="en-US" w:eastAsia="zh-CN"/>
        </w:rPr>
      </w:pPr>
    </w:p>
    <w:p w14:paraId="02311828">
      <w:pPr>
        <w:spacing w:line="576" w:lineRule="exact"/>
        <w:ind w:firstLine="5120" w:firstLineChars="16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85</w:t>
      </w:r>
      <w:r>
        <w:rPr>
          <w:rFonts w:hint="default" w:ascii="仿宋_GB2312" w:hAnsi="仿宋" w:eastAsia="仿宋_GB2312" w:cs="仿宋"/>
          <w:sz w:val="32"/>
          <w:szCs w:val="32"/>
          <w:lang w:val="en-US" w:eastAsia="zh-CN"/>
        </w:rPr>
        <w:t>号</w:t>
      </w:r>
    </w:p>
    <w:p w14:paraId="3AB7830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w:t>
      </w:r>
      <w:r>
        <w:rPr>
          <w:rFonts w:hint="eastAsia" w:ascii="仿宋_GB2312" w:hAnsi="仿宋" w:eastAsia="仿宋_GB2312" w:cs="仿宋"/>
          <w:sz w:val="32"/>
          <w:szCs w:val="32"/>
          <w:lang w:val="en-US" w:eastAsia="zh-CN"/>
        </w:rPr>
        <w:t>权某某</w:t>
      </w:r>
    </w:p>
    <w:p w14:paraId="640E6727">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w:t>
      </w:r>
      <w:r>
        <w:rPr>
          <w:rFonts w:hint="eastAsia" w:ascii="仿宋_GB2312" w:hAnsi="仿宋" w:eastAsia="仿宋_GB2312" w:cs="仿宋"/>
          <w:sz w:val="32"/>
          <w:szCs w:val="32"/>
          <w:lang w:val="en-US" w:eastAsia="zh-CN"/>
        </w:rPr>
        <w:t>朴某某</w:t>
      </w:r>
    </w:p>
    <w:p w14:paraId="1ED54353">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w:t>
      </w:r>
      <w:r>
        <w:rPr>
          <w:rFonts w:hint="eastAsia" w:ascii="仿宋_GB2312" w:hAnsi="仿宋" w:eastAsia="仿宋_GB2312" w:cs="仿宋"/>
          <w:sz w:val="32"/>
          <w:szCs w:val="32"/>
          <w:lang w:val="en-US" w:eastAsia="zh-CN"/>
        </w:rPr>
        <w:t>姜  某</w:t>
      </w:r>
    </w:p>
    <w:p w14:paraId="053B143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被申请人：</w:t>
      </w:r>
      <w:r>
        <w:rPr>
          <w:rFonts w:hint="eastAsia" w:ascii="Times New Roman" w:hAnsi="Times New Roman" w:eastAsia="仿宋_GB2312"/>
          <w:color w:val="000000"/>
          <w:sz w:val="32"/>
          <w:szCs w:val="32"/>
          <w:lang w:val="en-US" w:eastAsia="zh-CN"/>
        </w:rPr>
        <w:t>通</w:t>
      </w:r>
      <w:r>
        <w:rPr>
          <w:rFonts w:hint="eastAsia" w:ascii="仿宋_GB2312" w:hAnsi="仿宋" w:eastAsia="仿宋_GB2312" w:cs="仿宋"/>
          <w:sz w:val="32"/>
          <w:szCs w:val="32"/>
          <w:lang w:val="en-US" w:eastAsia="zh-CN"/>
        </w:rPr>
        <w:t>化县住房和城乡建设局</w:t>
      </w:r>
    </w:p>
    <w:p w14:paraId="1153456E">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申请人不服通化县住房和城乡建设局作出的（通县住）不立告字〔2024〕第002号不予立案告知书。于2024年9月29日向通化县人民政府申请行政复议，本机关依法予以受理，现已审理终结。</w:t>
      </w:r>
    </w:p>
    <w:p w14:paraId="00D211F2">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申请人请求：</w:t>
      </w:r>
      <w:r>
        <w:rPr>
          <w:rFonts w:hint="eastAsia" w:ascii="仿宋_GB2312" w:hAnsi="仿宋" w:eastAsia="仿宋_GB2312" w:cs="仿宋"/>
          <w:sz w:val="32"/>
          <w:szCs w:val="32"/>
          <w:lang w:val="en-US" w:eastAsia="zh-CN"/>
        </w:rPr>
        <w:t>1、撤销被申请人作出的（通县住）不立告字〔2024〕第002号不予立案告知书；2、责令被申请人依法受理申请事项。</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ascii="仿宋_GB2312" w:hAnsi="仿宋" w:eastAsia="仿宋_GB2312" w:cs="仿宋"/>
          <w:sz w:val="32"/>
          <w:szCs w:val="32"/>
          <w:lang w:val="en-US" w:eastAsia="zh-CN"/>
        </w:rPr>
        <w:t>被申请人作出的告知书认定事实和适用法律错误、程序违法，应予以撤销。主要理由是：</w:t>
      </w:r>
    </w:p>
    <w:p w14:paraId="750348F1">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一、通化XX房地产开发有限责任公司存在未按建设工程规划许可证附图建设或者擅自改变规划的行为。</w:t>
      </w:r>
    </w:p>
    <w:p w14:paraId="119FC3F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二、通化XX房地产开发有限责任公司存在未按照施工图建设或者竣工后擅自改变规划，重新进行拆除和建设。</w:t>
      </w:r>
    </w:p>
    <w:p w14:paraId="79ECC8A5">
      <w:pPr>
        <w:ind w:firstLine="643" w:firstLineChars="200"/>
        <w:rPr>
          <w:rFonts w:hint="eastAsia" w:ascii="仿宋_GB2312" w:hAnsi="仿宋" w:eastAsia="仿宋_GB2312" w:cs="仿宋"/>
          <w:sz w:val="32"/>
          <w:szCs w:val="32"/>
          <w:lang w:val="en-US" w:eastAsia="zh-CN"/>
        </w:rPr>
      </w:pPr>
      <w:r>
        <w:rPr>
          <w:rFonts w:hint="eastAsia" w:eastAsia="仿宋_GB2312"/>
          <w:b/>
          <w:bCs/>
          <w:color w:val="000000"/>
          <w:sz w:val="32"/>
          <w:szCs w:val="32"/>
          <w:lang w:val="en-US" w:eastAsia="zh-CN"/>
        </w:rPr>
        <w:t>被申请人答复称：</w:t>
      </w:r>
      <w:r>
        <w:rPr>
          <w:rFonts w:hint="eastAsia" w:eastAsia="仿宋_GB2312"/>
          <w:b w:val="0"/>
          <w:bCs w:val="0"/>
          <w:color w:val="000000"/>
          <w:sz w:val="32"/>
          <w:szCs w:val="32"/>
          <w:lang w:val="en-US" w:eastAsia="zh-CN"/>
        </w:rPr>
        <w:t>被申请人</w:t>
      </w:r>
      <w:r>
        <w:rPr>
          <w:rFonts w:hint="eastAsia" w:ascii="仿宋_GB2312" w:hAnsi="仿宋" w:eastAsia="仿宋_GB2312" w:cs="仿宋"/>
          <w:sz w:val="32"/>
          <w:szCs w:val="32"/>
          <w:lang w:val="en-US" w:eastAsia="zh-CN"/>
        </w:rPr>
        <w:t>作出的（通县住）不立告字〔2024〕第002号不予立案告知书，程序合法、事实清楚，已经依法履职。主要理由是：</w:t>
      </w:r>
    </w:p>
    <w:p w14:paraId="369AAD5D">
      <w:pPr>
        <w:numPr>
          <w:ilvl w:val="0"/>
          <w:numId w:val="0"/>
        </w:numPr>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一、被申请人根据违法线索进行了现场检查和勘验。</w:t>
      </w:r>
    </w:p>
    <w:p w14:paraId="789BA854">
      <w:pPr>
        <w:numPr>
          <w:ilvl w:val="0"/>
          <w:numId w:val="0"/>
        </w:numPr>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二、案涉</w:t>
      </w:r>
      <w:r>
        <w:rPr>
          <w:rFonts w:hint="eastAsia" w:ascii="仿宋_GB2312" w:hAnsi="仿宋_GB2312" w:eastAsia="仿宋_GB2312" w:cs="仿宋_GB2312"/>
          <w:color w:val="auto"/>
          <w:kern w:val="0"/>
          <w:sz w:val="32"/>
          <w:szCs w:val="32"/>
          <w:lang w:val="en-US" w:eastAsia="zh-CN"/>
        </w:rPr>
        <w:t>建筑物商业部分是按照单层整体设计，设计方案中并未注明分户隔断，并未发现涉嫌违法行为。</w:t>
      </w:r>
    </w:p>
    <w:p w14:paraId="06C3E133">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lang w:val="en-US" w:eastAsia="zh-CN"/>
        </w:rPr>
        <w:t>经审理查明：</w:t>
      </w:r>
      <w:r>
        <w:rPr>
          <w:rFonts w:hint="eastAsia" w:ascii="仿宋_GB2312" w:hAnsi="仿宋" w:eastAsia="仿宋_GB2312" w:cs="仿宋"/>
          <w:sz w:val="32"/>
          <w:szCs w:val="32"/>
          <w:lang w:val="en-US" w:eastAsia="zh-CN"/>
        </w:rPr>
        <w:t>2024年5月17日，申请人向通化县自然资源局邮寄了《履行法定职责申请书》，请求通化县自然资源局对通化XX房地产开发有限责任公司存在的未按施工图建设的行为，进行调查处理。通化县自然资源局经过初步甄别，认为通化XX房地产开发有限责任公司疑似存在未按《建筑工程施工许可证》建设的行为，并将此线索移交至被申请人处。被申请人收到线索后，调阅了施工图纸，组织执法人员进行现场检查及勘验，经调查</w:t>
      </w:r>
      <w:r>
        <w:rPr>
          <w:rFonts w:hint="eastAsia" w:ascii="仿宋_GB2312" w:hAnsi="仿宋_GB2312" w:eastAsia="仿宋_GB2312" w:cs="仿宋_GB2312"/>
          <w:color w:val="auto"/>
          <w:kern w:val="0"/>
          <w:sz w:val="32"/>
          <w:szCs w:val="32"/>
          <w:lang w:val="en-US" w:eastAsia="zh-CN"/>
        </w:rPr>
        <w:t>该建筑物商业部分是按照单层整体设计，设计方案中并未注明分户隔断，被申请人</w:t>
      </w:r>
      <w:r>
        <w:rPr>
          <w:rFonts w:hint="eastAsia" w:ascii="仿宋_GB2312" w:hAnsi="仿宋" w:eastAsia="仿宋_GB2312" w:cs="仿宋"/>
          <w:sz w:val="32"/>
          <w:szCs w:val="32"/>
          <w:lang w:val="en-US" w:eastAsia="zh-CN"/>
        </w:rPr>
        <w:t>未发现通化华晨房地产开发有限责任公司存在</w:t>
      </w:r>
      <w:r>
        <w:rPr>
          <w:rFonts w:hint="eastAsia" w:ascii="仿宋_GB2312" w:hAnsi="仿宋_GB2312" w:eastAsia="仿宋_GB2312" w:cs="仿宋_GB2312"/>
          <w:color w:val="auto"/>
          <w:kern w:val="0"/>
          <w:sz w:val="32"/>
          <w:szCs w:val="32"/>
          <w:lang w:val="en-US" w:eastAsia="zh-CN"/>
        </w:rPr>
        <w:t>违法行为，于2024年7月31日，作出《不予立案告知书》，并向申请人进行了邮寄送达。2024年9月29日，申请人不服被申请人作出的《不予立案告知书》，向本机关提出行政复议申请。</w:t>
      </w:r>
    </w:p>
    <w:p w14:paraId="2BE4D0EE">
      <w:pPr>
        <w:pStyle w:val="10"/>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eastAsia="仿宋_GB2312"/>
          <w:b/>
          <w:bCs/>
          <w:color w:val="000000"/>
          <w:sz w:val="32"/>
          <w:szCs w:val="32"/>
          <w:lang w:val="en-US" w:eastAsia="zh-CN"/>
        </w:rPr>
      </w:pPr>
      <w:r>
        <w:rPr>
          <w:rFonts w:hint="eastAsia" w:eastAsia="仿宋_GB2312"/>
          <w:b/>
          <w:bCs/>
          <w:color w:val="000000"/>
          <w:sz w:val="32"/>
          <w:szCs w:val="32"/>
          <w:lang w:val="en-US" w:eastAsia="zh-CN"/>
        </w:rPr>
        <w:t>上述事实有下列证据证明：</w:t>
      </w:r>
    </w:p>
    <w:p w14:paraId="5CD0F1B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一、履行法定职责申请书；</w:t>
      </w:r>
    </w:p>
    <w:p w14:paraId="6E7730D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二、关于《履行法定职责申请书》的回复；</w:t>
      </w:r>
    </w:p>
    <w:p w14:paraId="6583F79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三、移交违法线索函及送达回证；</w:t>
      </w:r>
    </w:p>
    <w:p w14:paraId="6CB65903">
      <w:pPr>
        <w:pStyle w:val="10"/>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四、XXXX广场商铺预售定位合同书及平面图；</w:t>
      </w:r>
    </w:p>
    <w:p w14:paraId="58F081A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五、邮寄凭证；</w:t>
      </w:r>
    </w:p>
    <w:p w14:paraId="74F0B9FD">
      <w:pPr>
        <w:pStyle w:val="10"/>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六、被申请人提供答复书；</w:t>
      </w:r>
    </w:p>
    <w:p w14:paraId="1D37A112">
      <w:pPr>
        <w:pStyle w:val="10"/>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七、被申请人提供执法案卷。</w:t>
      </w:r>
    </w:p>
    <w:p w14:paraId="663E5E5A">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本机关认为：</w:t>
      </w:r>
    </w:p>
    <w:p w14:paraId="68839E7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一、被申请人具有调查处理本案举报线索的主体资格。</w:t>
      </w:r>
    </w:p>
    <w:p w14:paraId="02C27EE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中华人民共和国建筑法》、《建设工程管理条例》等相关法律法规规定，被申请人作为县级人民政府建设行政主管部门，在收到举报线索后，具有对辖区内建设工程质量监督管理的法定职责，被申请人是具有处理职权的适格主体。</w:t>
      </w:r>
    </w:p>
    <w:p w14:paraId="0C5FB5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二、被申请人对举报事项的调查处理程序合法。</w:t>
      </w:r>
    </w:p>
    <w:p w14:paraId="58C036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在收到举报线索后，依据《住房和城乡建设行政处罚程序规定》对举报线索进行了立案调查、调阅资料、现场勘验，在未发现违法线索的情况下，经过法制审核撤销立案，作出不予立案的处理决定，并将《不予立案告知书》对申请人进行邮寄送达，被申请人履行了法定职责，程序合法。</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被申请人认定事实清楚，证据充分，适用法律正确。</w:t>
      </w:r>
    </w:p>
    <w:p w14:paraId="1EA2E3E7">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被申请人执法人员通过调阅的施工图，在进行现场勘查时，并未发现通化XX</w:t>
      </w:r>
      <w:bookmarkStart w:id="0" w:name="_GoBack"/>
      <w:bookmarkEnd w:id="0"/>
      <w:r>
        <w:rPr>
          <w:rFonts w:hint="eastAsia" w:ascii="仿宋_GB2312" w:hAnsi="仿宋" w:eastAsia="仿宋_GB2312" w:cs="仿宋"/>
          <w:kern w:val="2"/>
          <w:sz w:val="32"/>
          <w:szCs w:val="32"/>
          <w:lang w:val="en-US" w:eastAsia="zh-CN" w:bidi="ar-SA"/>
        </w:rPr>
        <w:t>房地产开发有限公司存在不按施工图建设的行为，</w:t>
      </w:r>
      <w:r>
        <w:rPr>
          <w:rFonts w:hint="eastAsia" w:ascii="仿宋_GB2312" w:hAnsi="仿宋" w:eastAsia="仿宋_GB2312" w:cs="仿宋"/>
          <w:sz w:val="32"/>
          <w:szCs w:val="32"/>
          <w:lang w:val="en-US" w:eastAsia="zh-CN"/>
        </w:rPr>
        <w:t>被申请人</w:t>
      </w:r>
      <w:r>
        <w:rPr>
          <w:rFonts w:hint="eastAsia" w:ascii="仿宋_GB2312" w:hAnsi="仿宋" w:eastAsia="仿宋_GB2312" w:cs="仿宋"/>
          <w:sz w:val="32"/>
          <w:szCs w:val="32"/>
        </w:rPr>
        <w:t>认为</w:t>
      </w:r>
      <w:r>
        <w:rPr>
          <w:rFonts w:hint="eastAsia" w:ascii="仿宋_GB2312" w:hAnsi="仿宋" w:eastAsia="仿宋_GB2312" w:cs="仿宋"/>
          <w:sz w:val="32"/>
          <w:szCs w:val="32"/>
          <w:lang w:val="en-US" w:eastAsia="zh-CN"/>
        </w:rPr>
        <w:t>案涉建设单位不存在违法行为，不符合《住房和城乡建设行政处罚程序规定》</w:t>
      </w:r>
      <w:r>
        <w:rPr>
          <w:rFonts w:hint="eastAsia" w:ascii="仿宋_GB2312" w:hAnsi="仿宋" w:eastAsia="仿宋_GB2312" w:cs="仿宋"/>
          <w:sz w:val="32"/>
          <w:szCs w:val="32"/>
        </w:rPr>
        <w:t>第十</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条</w:t>
      </w:r>
      <w:r>
        <w:rPr>
          <w:rFonts w:hint="eastAsia" w:ascii="仿宋_GB2312" w:hAnsi="仿宋" w:eastAsia="仿宋_GB2312" w:cs="仿宋"/>
          <w:sz w:val="32"/>
          <w:szCs w:val="32"/>
          <w:lang w:val="en-US" w:eastAsia="zh-CN"/>
        </w:rPr>
        <w:t>第二款</w:t>
      </w:r>
      <w:r>
        <w:rPr>
          <w:rFonts w:hint="eastAsia" w:ascii="仿宋_GB2312" w:hAnsi="仿宋" w:eastAsia="仿宋_GB2312" w:cs="仿宋"/>
          <w:sz w:val="32"/>
          <w:szCs w:val="32"/>
        </w:rPr>
        <w:t>的立案条件，</w:t>
      </w:r>
      <w:r>
        <w:rPr>
          <w:rFonts w:hint="eastAsia" w:ascii="仿宋_GB2312" w:hAnsi="仿宋" w:eastAsia="仿宋_GB2312" w:cs="仿宋"/>
          <w:sz w:val="32"/>
          <w:szCs w:val="32"/>
          <w:lang w:val="en-US" w:eastAsia="zh-CN"/>
        </w:rPr>
        <w:t>作出不予立案决定并无不当。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作出的（通县住）不立告字〔2024〕第002号不予立案告知书</w:t>
      </w:r>
      <w:r>
        <w:rPr>
          <w:rFonts w:hint="eastAsia" w:ascii="仿宋_GB2312" w:hAnsi="仿宋" w:eastAsia="仿宋_GB2312" w:cs="仿宋"/>
          <w:sz w:val="32"/>
          <w:szCs w:val="32"/>
        </w:rPr>
        <w:t>。</w:t>
      </w:r>
    </w:p>
    <w:p w14:paraId="38CDE4C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申请人如不服本行政复议决定，可在接到本决定书之日起15日内，向人民法院提起行政诉讼。</w:t>
      </w:r>
    </w:p>
    <w:p w14:paraId="6A30FB55">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 w:eastAsia="仿宋_GB2312" w:cs="仿宋"/>
          <w:kern w:val="2"/>
          <w:sz w:val="32"/>
          <w:szCs w:val="32"/>
          <w:lang w:val="en-US" w:eastAsia="zh-CN" w:bidi="ar-SA"/>
        </w:rPr>
      </w:pPr>
    </w:p>
    <w:p w14:paraId="404A1EC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xml:space="preserve">                            通化县人民政府</w:t>
      </w:r>
    </w:p>
    <w:p w14:paraId="2B22ABF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仿宋_GB2312" w:hAnsi="仿宋" w:eastAsia="仿宋_GB2312" w:cs="仿宋"/>
          <w:kern w:val="2"/>
          <w:sz w:val="32"/>
          <w:szCs w:val="32"/>
          <w:lang w:val="en-US" w:eastAsia="zh-CN" w:bidi="ar-SA"/>
        </w:rPr>
        <w:t xml:space="preserve">                       二〇二四年十二月二十四日   </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olor w:val="000000"/>
          <w:sz w:val="32"/>
          <w:szCs w:val="32"/>
          <w:lang w:val="en-US" w:eastAsia="zh-CN"/>
        </w:rPr>
        <w:t xml:space="preserve">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7D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B48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8DB48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AAC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02210EF"/>
    <w:rsid w:val="0199609C"/>
    <w:rsid w:val="02606269"/>
    <w:rsid w:val="02E33476"/>
    <w:rsid w:val="087C4131"/>
    <w:rsid w:val="12210946"/>
    <w:rsid w:val="13970389"/>
    <w:rsid w:val="19856C4C"/>
    <w:rsid w:val="1A0C3851"/>
    <w:rsid w:val="1BD10A0A"/>
    <w:rsid w:val="1C3E1D3E"/>
    <w:rsid w:val="1CC94187"/>
    <w:rsid w:val="1D355362"/>
    <w:rsid w:val="246F477F"/>
    <w:rsid w:val="25562037"/>
    <w:rsid w:val="26B93AAB"/>
    <w:rsid w:val="28D27585"/>
    <w:rsid w:val="2EFA2347"/>
    <w:rsid w:val="30225346"/>
    <w:rsid w:val="31241623"/>
    <w:rsid w:val="326D31C6"/>
    <w:rsid w:val="333B2B18"/>
    <w:rsid w:val="33474502"/>
    <w:rsid w:val="362905E6"/>
    <w:rsid w:val="382C1FAF"/>
    <w:rsid w:val="39EA6381"/>
    <w:rsid w:val="3B6C0B01"/>
    <w:rsid w:val="411D5E93"/>
    <w:rsid w:val="42F51E9D"/>
    <w:rsid w:val="448E426B"/>
    <w:rsid w:val="45EC1C97"/>
    <w:rsid w:val="4674572E"/>
    <w:rsid w:val="49CD4750"/>
    <w:rsid w:val="4F044F0A"/>
    <w:rsid w:val="508F0DC7"/>
    <w:rsid w:val="53DE6642"/>
    <w:rsid w:val="55087E92"/>
    <w:rsid w:val="57F61B8F"/>
    <w:rsid w:val="5906675A"/>
    <w:rsid w:val="598F29D8"/>
    <w:rsid w:val="5C0F6FB7"/>
    <w:rsid w:val="5D6F111A"/>
    <w:rsid w:val="5DEC7A21"/>
    <w:rsid w:val="5EEF7FE0"/>
    <w:rsid w:val="5F5E6A05"/>
    <w:rsid w:val="5FAC32F3"/>
    <w:rsid w:val="60F17D9F"/>
    <w:rsid w:val="65622202"/>
    <w:rsid w:val="68517AD0"/>
    <w:rsid w:val="69284267"/>
    <w:rsid w:val="6F263826"/>
    <w:rsid w:val="6FC74BD4"/>
    <w:rsid w:val="74A37E37"/>
    <w:rsid w:val="76E57590"/>
    <w:rsid w:val="775D5288"/>
    <w:rsid w:val="78022A9F"/>
    <w:rsid w:val="7E155635"/>
    <w:rsid w:val="7ECE3BBE"/>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0"/>
    <w:rPr>
      <w:b/>
    </w:rPr>
  </w:style>
  <w:style w:type="paragraph" w:customStyle="1" w:styleId="10">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1557</Words>
  <Characters>1649</Characters>
  <Lines>0</Lines>
  <Paragraphs>0</Paragraphs>
  <TotalTime>1</TotalTime>
  <ScaleCrop>false</ScaleCrop>
  <LinksUpToDate>false</LinksUpToDate>
  <CharactersWithSpaces>1767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2024-09-06T01:31:00Z</cp:lastPrinted>
  <dcterms:modified xsi:type="dcterms:W3CDTF">2025-06-13T08:56:28Z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