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通县政</w:t>
      </w:r>
      <w:r>
        <w:rPr>
          <w:rFonts w:hint="default" w:ascii="Times New Roman" w:hAnsi="Times New Roman" w:eastAsia="仿宋_GB2312"/>
          <w:color w:val="000000"/>
          <w:sz w:val="32"/>
          <w:szCs w:val="32"/>
          <w:lang w:val="en-US" w:eastAsia="zh-CN"/>
        </w:rPr>
        <w:t>复</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2024</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83</w:t>
      </w:r>
      <w:r>
        <w:rPr>
          <w:rFonts w:hint="default" w:ascii="仿宋_GB2312" w:hAnsi="仿宋" w:eastAsia="仿宋_GB2312" w:cs="仿宋"/>
          <w:sz w:val="32"/>
          <w:szCs w:val="32"/>
          <w:lang w:val="en-US" w:eastAsia="zh-CN"/>
        </w:rPr>
        <w:t>号</w:t>
      </w:r>
    </w:p>
    <w:p w14:paraId="021A8B36">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ascii="仿宋_GB2312" w:hAnsi="仿宋" w:eastAsia="仿宋_GB2312" w:cs="仿宋"/>
          <w:sz w:val="32"/>
          <w:szCs w:val="32"/>
          <w:lang w:val="en-US" w:eastAsia="zh-CN"/>
        </w:rPr>
        <w:t>王某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1BF88F">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申请人不服通化县市场监督管理局对举报作出的不予立案处理决定。于2024年9月22日向通化县人民政府申请行政复议，本机关依法予以受理，现已审理终结。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撤销被申请人对举报作出不予立案的处理决定，责令重新作出处理。</w:t>
      </w:r>
    </w:p>
    <w:p w14:paraId="6929467C">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申请人称：</w:t>
      </w:r>
      <w:r>
        <w:rPr>
          <w:rFonts w:hint="eastAsia" w:ascii="仿宋_GB2312" w:hAnsi="仿宋" w:eastAsia="仿宋_GB2312" w:cs="仿宋"/>
          <w:sz w:val="32"/>
          <w:szCs w:val="32"/>
          <w:lang w:val="en-US" w:eastAsia="zh-CN"/>
        </w:rPr>
        <w:t>案涉产品不符合国家食品安全规定，被申请人未依照法律规定对违法产品进行召回，请求撤销被申请人作出的不予立案处理决定。</w:t>
      </w:r>
    </w:p>
    <w:p w14:paraId="654B9E06">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仿宋" w:eastAsia="仿宋_GB2312" w:cs="仿宋"/>
          <w:sz w:val="32"/>
          <w:szCs w:val="32"/>
          <w:lang w:val="en-US" w:eastAsia="zh-CN"/>
        </w:rPr>
        <w:t>被申请人对申请人的举报事项处理事实清楚、证据确凿、处理适当、程序合法，且申请人不具有复议主体资格。主要理由是：</w:t>
      </w:r>
    </w:p>
    <w:p w14:paraId="22F08FFC">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一、被申请人依据《市场监督管理行政处罚程序规定》第二十条之规定，作出的不予立案决定符合法律规定。</w:t>
      </w:r>
    </w:p>
    <w:p w14:paraId="3A92284F">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二、申请人非普通消费者。</w:t>
      </w:r>
    </w:p>
    <w:p w14:paraId="4D84086B">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三、申请人对不予立案决定不具备行政复议资格。</w:t>
      </w:r>
    </w:p>
    <w:p w14:paraId="4480BA92">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sz w:val="32"/>
          <w:szCs w:val="32"/>
          <w:lang w:val="en-US" w:eastAsia="zh-CN"/>
        </w:rPr>
        <w:t>：2024年9月3日，被申请人收到申请人通过邮寄方式进行的举报，被申请人对举报进行了处理。2024年9月18日，被申请人对举报作出不予立案的处理决定。2024年9月18日，被申请人将处理决定邮寄给申请人。2024年9月22日，申请人不服该处理决定，向本机关提出行政复议申请。</w:t>
      </w:r>
    </w:p>
    <w:p w14:paraId="636DA8F9">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申请人在全国12315平台共计进行了395次投诉，76次举报，仅2024年1-10月份，对投诉举报处理结果不服，在我县就申请了5次行政复议。申请人投诉举报内容高度一致，表格化，模板化。</w:t>
      </w:r>
    </w:p>
    <w:p w14:paraId="786BAEEC">
      <w:pPr>
        <w:spacing w:after="0" w:line="576" w:lineRule="exact"/>
        <w:ind w:firstLine="643" w:firstLineChars="200"/>
        <w:jc w:val="both"/>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上述事实有下列证据证明：</w:t>
      </w:r>
    </w:p>
    <w:p w14:paraId="10A6CEE0">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一、商品购买截图1张；</w:t>
      </w:r>
    </w:p>
    <w:p w14:paraId="4B1D2C37">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二、商品实物图照片3张；</w:t>
      </w:r>
    </w:p>
    <w:p w14:paraId="7704C79B">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三、不予立案审批表；</w:t>
      </w:r>
    </w:p>
    <w:p w14:paraId="5D5A255D">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四、被申请人邮寄凭证；</w:t>
      </w:r>
    </w:p>
    <w:p w14:paraId="6CE08957">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五、案涉产品检验报告。</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3DDC0E58">
      <w:pPr>
        <w:spacing w:after="0" w:line="576" w:lineRule="exact"/>
        <w:ind w:firstLine="640"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一、被申请人对举报的处理程序合法，履行了法定职责。</w:t>
      </w:r>
    </w:p>
    <w:p w14:paraId="1EE81EF1">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市场监督管理投诉举报处理暂行办法》第四条规定：“县级以上地方市场监督管理部门负责本行政区域内的投诉举报处理工作”；《市场监督管理行政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已履行了受理、告知的程序，并开展了调查工作，对举报作出了不予立案的处理决定，因此被申请人履行了法定职责，符合法律规定。</w:t>
      </w:r>
    </w:p>
    <w:p w14:paraId="4CFE2E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eastAsia" w:eastAsia="仿宋_GB2312" w:cs="Times New Roman"/>
          <w:b w:val="0"/>
          <w:bCs w:val="0"/>
          <w:color w:val="000000"/>
          <w:sz w:val="32"/>
          <w:szCs w:val="32"/>
          <w:lang w:val="en-US" w:eastAsia="zh-CN"/>
        </w:rPr>
        <w:t>二、申请人不具有行政复议申请人资格。</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_GB2312" w:eastAsia="仿宋_GB2312" w:cs="仿宋_GB2312"/>
          <w:sz w:val="31"/>
          <w:szCs w:val="31"/>
        </w:rPr>
      </w:pPr>
      <w:r>
        <w:rPr>
          <w:rFonts w:hint="eastAsia" w:ascii="Times New Roman" w:hAnsi="Times New Roman" w:eastAsia="仿宋_GB2312" w:cs="Times New Roman"/>
          <w:b w:val="0"/>
          <w:bCs w:val="0"/>
          <w:color w:val="000000"/>
          <w:sz w:val="32"/>
          <w:szCs w:val="32"/>
          <w:lang w:val="en-US" w:eastAsia="zh-CN"/>
        </w:rPr>
        <w:t>《中华人民共和国行政复议法》第六条第十一项规定：“有下列情形之一的，公民、法人或者其他组织可以依照本法申请行政复议</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为维护自身合法权益向行政机关投诉</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具有处理投诉职责的行政机关作出或者未作出处理的，属于“与行政行为有利害关系”。</w:t>
      </w:r>
      <w:r>
        <w:rPr>
          <w:rFonts w:ascii="仿宋_GB2312" w:hAnsi="仿宋_GB2312" w:eastAsia="仿宋_GB2312" w:cs="仿宋_GB2312"/>
          <w:sz w:val="31"/>
          <w:szCs w:val="31"/>
        </w:rPr>
        <w:t>据此，公民有权就涉嫌违反市场监督管理法律、法规、规章线索的行为向相关主管部门进行</w:t>
      </w:r>
      <w:r>
        <w:rPr>
          <w:rFonts w:hint="eastAsia" w:ascii="仿宋_GB2312" w:hAnsi="仿宋_GB2312" w:eastAsia="仿宋_GB2312" w:cs="仿宋_GB2312"/>
          <w:sz w:val="31"/>
          <w:szCs w:val="31"/>
          <w:lang w:val="en-US" w:eastAsia="zh-CN"/>
        </w:rPr>
        <w:t>投诉举报</w:t>
      </w:r>
      <w:r>
        <w:rPr>
          <w:rFonts w:ascii="仿宋_GB2312" w:hAnsi="仿宋_GB2312" w:eastAsia="仿宋_GB2312" w:cs="仿宋_GB2312"/>
          <w:sz w:val="31"/>
          <w:szCs w:val="31"/>
        </w:rPr>
        <w:t>，但对主管部门的处理行为不服提起行政复议申请则需与该处理行为存在法律上的利害关系。</w:t>
      </w:r>
      <w:r>
        <w:rPr>
          <w:rFonts w:hint="default" w:ascii="仿宋_GB2312" w:hAnsi="仿宋_GB2312" w:eastAsia="仿宋_GB2312" w:cs="仿宋_GB2312"/>
          <w:sz w:val="31"/>
          <w:szCs w:val="31"/>
        </w:rPr>
        <w:t>本案中，申请人对</w:t>
      </w:r>
      <w:r>
        <w:rPr>
          <w:rFonts w:hint="eastAsia" w:ascii="仿宋_GB2312" w:hAnsi="仿宋_GB2312" w:eastAsia="仿宋_GB2312" w:cs="仿宋_GB2312"/>
          <w:sz w:val="31"/>
          <w:szCs w:val="31"/>
          <w:lang w:val="en-US" w:eastAsia="zh-CN"/>
        </w:rPr>
        <w:t>举报不予立案处理决定</w:t>
      </w:r>
      <w:r>
        <w:rPr>
          <w:rFonts w:hint="default" w:ascii="仿宋_GB2312" w:hAnsi="仿宋_GB2312" w:eastAsia="仿宋_GB2312" w:cs="仿宋_GB2312"/>
          <w:sz w:val="31"/>
          <w:szCs w:val="31"/>
        </w:rPr>
        <w:t>不服，向本机关提起行政复议申请</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但是</w:t>
      </w:r>
      <w:r>
        <w:rPr>
          <w:rFonts w:hint="default" w:ascii="仿宋_GB2312" w:hAnsi="仿宋_GB2312" w:eastAsia="仿宋_GB2312" w:cs="仿宋_GB2312"/>
          <w:sz w:val="31"/>
          <w:szCs w:val="31"/>
        </w:rPr>
        <w:t>经查询，申请人仅在全国12315平台上就投诉</w:t>
      </w:r>
      <w:r>
        <w:rPr>
          <w:rFonts w:hint="eastAsia" w:ascii="仿宋_GB2312" w:hAnsi="仿宋_GB2312" w:eastAsia="仿宋_GB2312" w:cs="仿宋_GB2312"/>
          <w:sz w:val="31"/>
          <w:szCs w:val="31"/>
          <w:lang w:val="en-US" w:eastAsia="zh-CN"/>
        </w:rPr>
        <w:t>395</w:t>
      </w:r>
      <w:r>
        <w:rPr>
          <w:rFonts w:hint="default" w:ascii="仿宋_GB2312" w:hAnsi="仿宋_GB2312" w:eastAsia="仿宋_GB2312" w:cs="仿宋_GB2312"/>
          <w:sz w:val="31"/>
          <w:szCs w:val="31"/>
        </w:rPr>
        <w:t>次，举报</w:t>
      </w:r>
      <w:r>
        <w:rPr>
          <w:rFonts w:hint="eastAsia" w:ascii="仿宋_GB2312" w:hAnsi="仿宋_GB2312" w:eastAsia="仿宋_GB2312" w:cs="仿宋_GB2312"/>
          <w:sz w:val="31"/>
          <w:szCs w:val="31"/>
          <w:lang w:val="en-US" w:eastAsia="zh-CN"/>
        </w:rPr>
        <w:t>76</w:t>
      </w:r>
      <w:r>
        <w:rPr>
          <w:rFonts w:hint="default" w:ascii="仿宋_GB2312" w:hAnsi="仿宋_GB2312" w:eastAsia="仿宋_GB2312" w:cs="仿宋_GB2312"/>
          <w:sz w:val="31"/>
          <w:szCs w:val="31"/>
        </w:rPr>
        <w:t>次</w:t>
      </w:r>
      <w:r>
        <w:rPr>
          <w:rFonts w:hint="eastAsia" w:ascii="Times New Roman" w:hAnsi="Times New Roman" w:eastAsia="仿宋_GB2312" w:cs="Times New Roman"/>
          <w:b w:val="0"/>
          <w:bCs w:val="0"/>
          <w:color w:val="000000"/>
          <w:sz w:val="32"/>
          <w:szCs w:val="32"/>
          <w:lang w:val="en-US" w:eastAsia="zh-CN"/>
        </w:rPr>
        <w:t>，申请人购买、使用商品的数量和投诉</w:t>
      </w:r>
      <w:r>
        <w:rPr>
          <w:rFonts w:hint="eastAsia" w:eastAsia="仿宋_GB2312" w:cs="Times New Roman"/>
          <w:b w:val="0"/>
          <w:bCs w:val="0"/>
          <w:color w:val="000000"/>
          <w:sz w:val="32"/>
          <w:szCs w:val="32"/>
          <w:lang w:val="en-US" w:eastAsia="zh-CN"/>
        </w:rPr>
        <w:t>举报</w:t>
      </w:r>
      <w:r>
        <w:rPr>
          <w:rFonts w:hint="eastAsia" w:ascii="Times New Roman" w:hAnsi="Times New Roman" w:eastAsia="仿宋_GB2312" w:cs="Times New Roman"/>
          <w:b w:val="0"/>
          <w:bCs w:val="0"/>
          <w:color w:val="000000"/>
          <w:sz w:val="32"/>
          <w:szCs w:val="32"/>
          <w:lang w:val="en-US" w:eastAsia="zh-CN"/>
        </w:rPr>
        <w:t>商品的次数明显超出合理生活消费范围，</w:t>
      </w:r>
      <w:r>
        <w:rPr>
          <w:rFonts w:hint="default" w:ascii="仿宋_GB2312" w:hAnsi="仿宋_GB2312" w:eastAsia="仿宋_GB2312" w:cs="仿宋_GB2312"/>
          <w:sz w:val="31"/>
          <w:szCs w:val="31"/>
        </w:rPr>
        <w:t>足以认定申请人向市场监督管理部门进行</w:t>
      </w:r>
      <w:r>
        <w:rPr>
          <w:rFonts w:hint="eastAsia" w:ascii="仿宋_GB2312" w:hAnsi="仿宋_GB2312" w:eastAsia="仿宋_GB2312" w:cs="仿宋_GB2312"/>
          <w:sz w:val="31"/>
          <w:szCs w:val="31"/>
          <w:lang w:val="en-US" w:eastAsia="zh-CN"/>
        </w:rPr>
        <w:t>投诉举报</w:t>
      </w:r>
      <w:r>
        <w:rPr>
          <w:rFonts w:hint="default" w:ascii="仿宋_GB2312" w:hAnsi="仿宋_GB2312" w:eastAsia="仿宋_GB2312" w:cs="仿宋_GB2312"/>
          <w:sz w:val="31"/>
          <w:szCs w:val="31"/>
        </w:rPr>
        <w:t>的行为不属于普通消费者为维护自身合法权益而进行的</w:t>
      </w:r>
      <w:r>
        <w:rPr>
          <w:rFonts w:hint="eastAsia" w:ascii="仿宋_GB2312" w:hAnsi="仿宋_GB2312" w:eastAsia="仿宋_GB2312" w:cs="仿宋_GB2312"/>
          <w:sz w:val="31"/>
          <w:szCs w:val="31"/>
          <w:lang w:val="en-US" w:eastAsia="zh-CN"/>
        </w:rPr>
        <w:t>投诉举报</w:t>
      </w:r>
      <w:r>
        <w:rPr>
          <w:rFonts w:hint="default" w:ascii="仿宋_GB2312" w:hAnsi="仿宋_GB2312" w:eastAsia="仿宋_GB2312" w:cs="仿宋_GB2312"/>
          <w:sz w:val="31"/>
          <w:szCs w:val="31"/>
        </w:rPr>
        <w:t>范畴，被申请人对涉案</w:t>
      </w:r>
      <w:r>
        <w:rPr>
          <w:rFonts w:hint="eastAsia" w:ascii="仿宋_GB2312" w:hAnsi="仿宋_GB2312" w:eastAsia="仿宋_GB2312" w:cs="仿宋_GB2312"/>
          <w:sz w:val="31"/>
          <w:szCs w:val="31"/>
          <w:lang w:val="en-US" w:eastAsia="zh-CN"/>
        </w:rPr>
        <w:t>举报</w:t>
      </w:r>
      <w:r>
        <w:rPr>
          <w:rFonts w:hint="default" w:ascii="仿宋_GB2312" w:hAnsi="仿宋_GB2312" w:eastAsia="仿宋_GB2312" w:cs="仿宋_GB2312"/>
          <w:sz w:val="31"/>
          <w:szCs w:val="31"/>
        </w:rPr>
        <w:t>事项</w:t>
      </w:r>
      <w:r>
        <w:rPr>
          <w:rFonts w:hint="eastAsia" w:ascii="仿宋_GB2312" w:hAnsi="仿宋_GB2312" w:eastAsia="仿宋_GB2312" w:cs="仿宋_GB2312"/>
          <w:sz w:val="31"/>
          <w:szCs w:val="31"/>
          <w:lang w:val="en-US" w:eastAsia="zh-CN"/>
        </w:rPr>
        <w:t>的处理</w:t>
      </w:r>
      <w:r>
        <w:rPr>
          <w:rFonts w:hint="default" w:ascii="仿宋_GB2312" w:hAnsi="仿宋_GB2312" w:eastAsia="仿宋_GB2312" w:cs="仿宋_GB2312"/>
          <w:sz w:val="31"/>
          <w:szCs w:val="31"/>
        </w:rPr>
        <w:t>，亦不会造成申请人权利义务的直接增加或减损。且</w:t>
      </w:r>
      <w:r>
        <w:rPr>
          <w:rFonts w:hint="eastAsia" w:ascii="仿宋_GB2312" w:hAnsi="仿宋_GB2312" w:eastAsia="仿宋_GB2312" w:cs="仿宋_GB2312"/>
          <w:sz w:val="31"/>
          <w:szCs w:val="31"/>
          <w:lang w:val="en-US" w:eastAsia="zh-CN"/>
        </w:rPr>
        <w:t>2024年1-10月间</w:t>
      </w:r>
      <w:r>
        <w:rPr>
          <w:rFonts w:hint="default" w:ascii="仿宋_GB2312" w:hAnsi="仿宋_GB2312" w:eastAsia="仿宋_GB2312" w:cs="仿宋_GB2312"/>
          <w:sz w:val="31"/>
          <w:szCs w:val="31"/>
        </w:rPr>
        <w:t>，申请人在</w:t>
      </w:r>
      <w:r>
        <w:rPr>
          <w:rFonts w:hint="eastAsia" w:ascii="仿宋_GB2312" w:hAnsi="仿宋_GB2312" w:eastAsia="仿宋_GB2312" w:cs="仿宋_GB2312"/>
          <w:sz w:val="31"/>
          <w:szCs w:val="31"/>
          <w:lang w:val="en-US" w:eastAsia="zh-CN"/>
        </w:rPr>
        <w:t>我县</w:t>
      </w:r>
      <w:r>
        <w:rPr>
          <w:rFonts w:hint="default" w:ascii="仿宋_GB2312" w:hAnsi="仿宋_GB2312" w:eastAsia="仿宋_GB2312" w:cs="仿宋_GB2312"/>
          <w:sz w:val="31"/>
          <w:szCs w:val="31"/>
        </w:rPr>
        <w:t>以不服市场监管部门对其</w:t>
      </w:r>
      <w:r>
        <w:rPr>
          <w:rFonts w:hint="eastAsia" w:ascii="仿宋_GB2312" w:hAnsi="仿宋_GB2312" w:eastAsia="仿宋_GB2312" w:cs="仿宋_GB2312"/>
          <w:sz w:val="31"/>
          <w:szCs w:val="31"/>
          <w:lang w:val="en-US" w:eastAsia="zh-CN"/>
        </w:rPr>
        <w:t>举报</w:t>
      </w:r>
      <w:r>
        <w:rPr>
          <w:rFonts w:hint="default" w:ascii="仿宋_GB2312" w:hAnsi="仿宋_GB2312" w:eastAsia="仿宋_GB2312" w:cs="仿宋_GB2312"/>
          <w:sz w:val="31"/>
          <w:szCs w:val="31"/>
        </w:rPr>
        <w:t>处理提起的行政复议申请达</w:t>
      </w:r>
      <w:r>
        <w:rPr>
          <w:rFonts w:hint="eastAsia" w:ascii="仿宋_GB2312" w:hAnsi="仿宋_GB2312" w:eastAsia="仿宋_GB2312" w:cs="仿宋_GB2312"/>
          <w:sz w:val="31"/>
          <w:szCs w:val="31"/>
          <w:lang w:val="en-US" w:eastAsia="zh-CN"/>
        </w:rPr>
        <w:t>到4</w:t>
      </w:r>
      <w:r>
        <w:rPr>
          <w:rFonts w:hint="default" w:ascii="仿宋_GB2312" w:hAnsi="仿宋_GB2312" w:eastAsia="仿宋_GB2312" w:cs="仿宋_GB2312"/>
          <w:sz w:val="31"/>
          <w:szCs w:val="31"/>
        </w:rPr>
        <w:t>件，可见申请人并非为自身合法权益对相关违法行为进行</w:t>
      </w:r>
      <w:r>
        <w:rPr>
          <w:rFonts w:hint="eastAsia" w:ascii="仿宋_GB2312" w:hAnsi="仿宋_GB2312" w:eastAsia="仿宋_GB2312" w:cs="仿宋_GB2312"/>
          <w:sz w:val="31"/>
          <w:szCs w:val="31"/>
          <w:lang w:val="en-US" w:eastAsia="zh-CN"/>
        </w:rPr>
        <w:t>投诉举报</w:t>
      </w:r>
      <w:r>
        <w:rPr>
          <w:rFonts w:hint="default" w:ascii="仿宋_GB2312" w:hAnsi="仿宋_GB2312" w:eastAsia="仿宋_GB2312" w:cs="仿宋_GB2312"/>
          <w:sz w:val="31"/>
          <w:szCs w:val="31"/>
        </w:rPr>
        <w:t>，与行政机关就其</w:t>
      </w:r>
      <w:r>
        <w:rPr>
          <w:rFonts w:hint="eastAsia" w:ascii="仿宋_GB2312" w:hAnsi="仿宋_GB2312" w:eastAsia="仿宋_GB2312" w:cs="仿宋_GB2312"/>
          <w:sz w:val="31"/>
          <w:szCs w:val="31"/>
          <w:lang w:val="en-US" w:eastAsia="zh-CN"/>
        </w:rPr>
        <w:t>投诉举报</w:t>
      </w:r>
      <w:r>
        <w:rPr>
          <w:rFonts w:hint="default" w:ascii="仿宋_GB2312" w:hAnsi="仿宋_GB2312" w:eastAsia="仿宋_GB2312" w:cs="仿宋_GB2312"/>
          <w:sz w:val="31"/>
          <w:szCs w:val="31"/>
        </w:rPr>
        <w:t>事项作出的处理行为没有利害关系，不具有行政复议申请人资格。</w:t>
      </w:r>
    </w:p>
    <w:p w14:paraId="48D78047">
      <w:pPr>
        <w:keepNext w:val="0"/>
        <w:keepLines w:val="0"/>
        <w:pageBreakBefore w:val="0"/>
        <w:widowControl w:val="0"/>
        <w:kinsoku/>
        <w:wordWrap/>
        <w:overflowPunct/>
        <w:topLinePunct w:val="0"/>
        <w:autoSpaceDE/>
        <w:autoSpaceDN/>
        <w:bidi w:val="0"/>
        <w:adjustRightInd/>
        <w:snapToGrid/>
        <w:spacing w:after="0" w:line="576"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综上，根据《中华人民共和国行政复议法》第六十九条、《中华人民共和国行政复议法实施条例》第四十八条第一款第（一）项的规定，本机关决定如下：</w:t>
      </w:r>
    </w:p>
    <w:p w14:paraId="2BD6D271">
      <w:pPr>
        <w:keepNext w:val="0"/>
        <w:keepLines w:val="0"/>
        <w:pageBreakBefore w:val="0"/>
        <w:widowControl w:val="0"/>
        <w:kinsoku/>
        <w:wordWrap/>
        <w:overflowPunct/>
        <w:topLinePunct w:val="0"/>
        <w:autoSpaceDE/>
        <w:autoSpaceDN/>
        <w:bidi w:val="0"/>
        <w:adjustRightInd/>
        <w:snapToGrid/>
        <w:spacing w:after="0" w:line="576"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驳回申请人的行政复议申请。</w:t>
      </w:r>
    </w:p>
    <w:p w14:paraId="19B7CD3F">
      <w:pPr>
        <w:keepNext w:val="0"/>
        <w:keepLines w:val="0"/>
        <w:pageBreakBefore w:val="0"/>
        <w:widowControl w:val="0"/>
        <w:kinsoku/>
        <w:wordWrap/>
        <w:overflowPunct/>
        <w:topLinePunct w:val="0"/>
        <w:autoSpaceDE/>
        <w:autoSpaceDN/>
        <w:bidi w:val="0"/>
        <w:adjustRightInd/>
        <w:snapToGrid/>
        <w:spacing w:after="0" w:line="576" w:lineRule="exact"/>
        <w:ind w:firstLine="620" w:firstLineChars="200"/>
        <w:jc w:val="both"/>
        <w:textAlignment w:val="auto"/>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lang w:val="en-US" w:eastAsia="zh-CN"/>
        </w:rPr>
        <w:t>本复议决定书一经送达，即发生法律效力。申请人如不服本决定，可自收到本复议决定书之日起15日内向人民法院提起诉讼。</w:t>
      </w:r>
    </w:p>
    <w:p w14:paraId="56B7832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1F349332">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231F9F5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eastAsia" w:eastAsia="仿宋_GB2312" w:cs="Times New Roman"/>
          <w:b w:val="0"/>
          <w:bCs w:val="0"/>
          <w:color w:val="000000"/>
          <w:sz w:val="32"/>
          <w:szCs w:val="32"/>
          <w:lang w:val="en-US" w:eastAsia="zh-CN"/>
        </w:rPr>
        <w:t xml:space="preserve"> </w:t>
      </w:r>
      <w:r>
        <w:rPr>
          <w:rFonts w:hint="eastAsia" w:ascii="Times New Roman" w:hAnsi="Times New Roman" w:eastAsia="仿宋_GB2312" w:cs="Times New Roman"/>
          <w:b w:val="0"/>
          <w:bCs w:val="0"/>
          <w:color w:val="000000"/>
          <w:sz w:val="32"/>
          <w:szCs w:val="32"/>
          <w:lang w:val="en-US" w:eastAsia="zh-CN"/>
        </w:rPr>
        <w:t>二〇二四年</w:t>
      </w:r>
      <w:r>
        <w:rPr>
          <w:rFonts w:hint="eastAsia" w:eastAsia="仿宋_GB2312" w:cs="Times New Roman"/>
          <w:b w:val="0"/>
          <w:bCs w:val="0"/>
          <w:color w:val="000000"/>
          <w:sz w:val="32"/>
          <w:szCs w:val="32"/>
          <w:lang w:val="en-US" w:eastAsia="zh-CN"/>
        </w:rPr>
        <w:t>十一</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十九</w:t>
      </w:r>
      <w:r>
        <w:rPr>
          <w:rFonts w:hint="eastAsia" w:ascii="Times New Roman" w:hAnsi="Times New Roman" w:eastAsia="仿宋_GB2312" w:cs="Times New Roman"/>
          <w:b w:val="0"/>
          <w:bCs w:val="0"/>
          <w:color w:val="000000"/>
          <w:sz w:val="32"/>
          <w:szCs w:val="32"/>
          <w:lang w:val="en-US" w:eastAsia="zh-CN"/>
        </w:rPr>
        <w:t>日</w:t>
      </w:r>
    </w:p>
    <w:p w14:paraId="5D11E537">
      <w:pPr>
        <w:rPr>
          <w:rFonts w:hint="eastAsia" w:ascii="仿宋" w:hAnsi="仿宋" w:eastAsia="仿宋" w:cs="仿宋"/>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BE40E0"/>
    <w:rsid w:val="057E4E8F"/>
    <w:rsid w:val="087C4131"/>
    <w:rsid w:val="0CD05820"/>
    <w:rsid w:val="0D802538"/>
    <w:rsid w:val="10960B84"/>
    <w:rsid w:val="13DC42B1"/>
    <w:rsid w:val="148A41EB"/>
    <w:rsid w:val="19856C4C"/>
    <w:rsid w:val="1C3E1D3E"/>
    <w:rsid w:val="246F477F"/>
    <w:rsid w:val="25B0733F"/>
    <w:rsid w:val="2A5C7D24"/>
    <w:rsid w:val="30225346"/>
    <w:rsid w:val="315A2087"/>
    <w:rsid w:val="326D31C6"/>
    <w:rsid w:val="337A02B8"/>
    <w:rsid w:val="35ED10D9"/>
    <w:rsid w:val="362905E6"/>
    <w:rsid w:val="37261FA2"/>
    <w:rsid w:val="372919DB"/>
    <w:rsid w:val="377207A0"/>
    <w:rsid w:val="382877F5"/>
    <w:rsid w:val="407B68EC"/>
    <w:rsid w:val="42A617C8"/>
    <w:rsid w:val="4A4D73EF"/>
    <w:rsid w:val="4CDD5875"/>
    <w:rsid w:val="528B0930"/>
    <w:rsid w:val="52E64215"/>
    <w:rsid w:val="56B33D02"/>
    <w:rsid w:val="58C53C0D"/>
    <w:rsid w:val="591E2AC0"/>
    <w:rsid w:val="598F29D8"/>
    <w:rsid w:val="5C0F1C82"/>
    <w:rsid w:val="5C0F6FB7"/>
    <w:rsid w:val="5CC60AEB"/>
    <w:rsid w:val="5DA853E8"/>
    <w:rsid w:val="5DEC7A21"/>
    <w:rsid w:val="5F6B2D1C"/>
    <w:rsid w:val="5F930B54"/>
    <w:rsid w:val="63040BF8"/>
    <w:rsid w:val="64093C6C"/>
    <w:rsid w:val="65622202"/>
    <w:rsid w:val="69510DCD"/>
    <w:rsid w:val="6C5A2D68"/>
    <w:rsid w:val="6FA236D9"/>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1864</Words>
  <Characters>1944</Characters>
  <Lines>0</Lines>
  <Paragraphs>0</Paragraphs>
  <TotalTime>15</TotalTime>
  <ScaleCrop>false</ScaleCrop>
  <LinksUpToDate>false</LinksUpToDate>
  <CharactersWithSpaces>2012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2025-06-13T08:54:23Z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