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77</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val="en-US" w:eastAsia="zh-CN"/>
        </w:rPr>
        <w:t>王某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lang w:val="en-US" w:eastAsia="zh-CN"/>
        </w:rPr>
        <w:t>申请人不服通化县市场监督管理局对投诉举报作出的不予立案处理决定。于2024年9月9日向通化县人民政府申请行政复议，本机关依法已予受理，现已审理终结。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撤销被申请人对举报作出的不予立案的处理决定，责令重新作出处理。</w:t>
      </w:r>
    </w:p>
    <w:p w14:paraId="2749BFA5">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申请人称：申请人在超市购买被投诉举报人通化</w:t>
      </w:r>
      <w:bookmarkStart w:id="0" w:name="_GoBack"/>
      <w:r>
        <w:rPr>
          <w:rFonts w:hint="eastAsia" w:ascii="仿宋_GB2312" w:hAnsi="仿宋" w:eastAsia="仿宋_GB2312" w:cs="仿宋"/>
          <w:sz w:val="32"/>
          <w:szCs w:val="32"/>
          <w:lang w:val="en-US" w:eastAsia="zh-CN"/>
        </w:rPr>
        <w:t>XX</w:t>
      </w:r>
      <w:bookmarkEnd w:id="0"/>
      <w:r>
        <w:rPr>
          <w:rFonts w:hint="eastAsia" w:ascii="仿宋_GB2312" w:hAnsi="仿宋" w:eastAsia="仿宋_GB2312" w:cs="仿宋"/>
          <w:sz w:val="32"/>
          <w:szCs w:val="32"/>
        </w:rPr>
        <w:t>食品生产有限公司生产的杞煜煎饼共两袋，被投诉举报商品两款产品的配料不一样，营养成分表却一模一样，因被投诉商品虚假标注营养成分表，投诉举报被申请人处。被申请人于2024年7月5号作出回复。申请人意见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被投诉举报产品营养成分表肯定是经过第三方检测才印制到产品外包装的，两款商品配料不同，营养成分必然不同，虚假标注营养成分表违反了预包装食品营养标签通则3.1.1规定，不符合食品安全的规定。生产厂家标注相同营养成分是“明知”。被投诉人是“明知”生产销售的商品不符合食品安全标准强制规定，关于“明知”依据(司法解释)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最高法院关于审理食品安全民事纠纷适用法律若干问题解释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确认销售者是否“明知”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以其是否履行了应尽的注意义务为标准。这种注意义务是通过法律法规和规范性文件确定的经营行为准则。是法定义务，必备能力，必须履行。还应对所销售食品是否符合国家食品安全标准尽必要的法定审查义务。被申请人未依照</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食品召回管理办法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第十一条，第十三条(三)项依法召回违法产品。依据市场监督管理局总局第49号令第37条第6项，被投诉举报产品违法行为不属于标签瑕疵。</w:t>
      </w:r>
    </w:p>
    <w:p w14:paraId="4180D39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申请人提供证据：1、商品购买截图1张；2、商品实物图4张。</w:t>
      </w:r>
    </w:p>
    <w:p w14:paraId="49A6DB87">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被申请人称：被申请人</w:t>
      </w:r>
      <w:r>
        <w:rPr>
          <w:rFonts w:hint="eastAsia" w:ascii="仿宋_GB2312" w:hAnsi="仿宋" w:eastAsia="仿宋_GB2312" w:cs="仿宋"/>
          <w:sz w:val="32"/>
          <w:szCs w:val="32"/>
        </w:rPr>
        <w:t>于2024年6月17日收到申请人的投诉举报函，</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按照申请人提供的线索开展调查核实工作。经核查，两款产品虽然营养成分表一致，但通过查阅两款产品检验报告，其实测值均符合《预包装食品营养标签通则》（GB28050－2011）6.4 “在产品保质期内，能量和营养成分含量的允许误差范围应符合表2的规定”的规定。 根据《预包装食品营养标签通则》（GB 28050-2011）问答(修订版)第（五十三） 关于标示数值的准确性。企业可以基于计算或检测结果，结合产品营养成分情况，并适当考虑该成分的允许误差来确定标签标示的数值。企业采用符合规定同时涵盖不同产品的营养成分表并无不妥。故</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于2024年7月5日作出不予立案决定，并向举报人告知。</w:t>
      </w:r>
    </w:p>
    <w:p w14:paraId="114EBB9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一、申请人请求撤销</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作出的不予立案决定</w:t>
      </w:r>
    </w:p>
    <w:p w14:paraId="1BE975E1">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已经在法定时限内对申请人进行了回复，履行了告知义务，</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处理该举报件程序符合规定。申请人要求撤销</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作出的行政决定于法无依。</w:t>
      </w:r>
    </w:p>
    <w:p w14:paraId="217C2A7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二、复议申请人非普通消费者</w:t>
      </w:r>
    </w:p>
    <w:p w14:paraId="079319A0">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经查明</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复议申请人在全国12315互联网平台共投诉374次，举报53次，有着密集的投诉举报记录，通过投诉举报信函进行投诉举报的行为</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收到多次，结合申请人过往投诉举报情况，并且其在判断产品营养标签有问题的情况下仍然购买，可以判断申请人购物行为超出合理的生活消费范围，并非普通消费者。并且申请人在未提供任何证据的情况下就提出了投诉举报，2024年已经多次对</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依法作出的行政决定提起行政复议。已经极大地干扰了企业的正常生产经营并占用了行政机关的行政资源。</w:t>
      </w:r>
    </w:p>
    <w:p w14:paraId="39DBBF79">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三、申请人对</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作出的不予立案决定不具备行政复议资格</w:t>
      </w:r>
    </w:p>
    <w:p w14:paraId="18B007BF">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举报人赔偿是民事纠纷，被申请人对投诉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举报的作用仅在于为市场监管部门查处违法违规行为提供线索或者证据，使未来可能的购买者避免利益受损，其保护的是不特定的社会公共利益，并非保护某个特定消费者的权益，被申请人对被投诉举报人作出的行政处理决定均未新增、变更、减损申请人的任何权利或义务，申请人与被申请人的行政处理决定不存在利害关系。</w:t>
      </w:r>
    </w:p>
    <w:p w14:paraId="44DBC19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对申请人的举报事项处理事实清楚、证据确凿、处理适当、程序合法，且申请人不具有复议主体资格。</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6月17日，申请人通过邮寄方式进行投诉举报，被申请人对投诉举报分别进行了处理；2024年7月5日，被申请人对举报作出不予立案的处理决定，并与当日将处理决定邮寄给申请人；2024年9月9日，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另查明申请人在全国12315平台共计进行了</w:t>
      </w:r>
      <w:r>
        <w:rPr>
          <w:rFonts w:hint="eastAsia" w:ascii="仿宋_GB2312" w:hAnsi="仿宋" w:eastAsia="仿宋_GB2312" w:cs="仿宋"/>
          <w:sz w:val="32"/>
          <w:szCs w:val="32"/>
          <w:lang w:val="en-US" w:eastAsia="zh-CN"/>
        </w:rPr>
        <w:t>374</w:t>
      </w:r>
      <w:r>
        <w:rPr>
          <w:rFonts w:hint="eastAsia" w:ascii="仿宋_GB2312" w:hAnsi="仿宋" w:eastAsia="仿宋_GB2312" w:cs="仿宋"/>
          <w:sz w:val="32"/>
          <w:szCs w:val="32"/>
          <w:lang w:eastAsia="zh-CN"/>
        </w:rPr>
        <w:t>次投诉，</w:t>
      </w:r>
      <w:r>
        <w:rPr>
          <w:rFonts w:hint="eastAsia" w:ascii="仿宋_GB2312" w:hAnsi="仿宋" w:eastAsia="仿宋_GB2312" w:cs="仿宋"/>
          <w:sz w:val="32"/>
          <w:szCs w:val="32"/>
          <w:lang w:val="en-US" w:eastAsia="zh-CN"/>
        </w:rPr>
        <w:t>53</w:t>
      </w:r>
      <w:r>
        <w:rPr>
          <w:rFonts w:hint="eastAsia" w:ascii="仿宋_GB2312" w:hAnsi="仿宋" w:eastAsia="仿宋_GB2312" w:cs="仿宋"/>
          <w:sz w:val="32"/>
          <w:szCs w:val="32"/>
          <w:lang w:eastAsia="zh-CN"/>
        </w:rPr>
        <w:t>次举报，</w:t>
      </w:r>
      <w:r>
        <w:rPr>
          <w:rFonts w:hint="eastAsia" w:ascii="仿宋_GB2312" w:hAnsi="仿宋" w:eastAsia="仿宋_GB2312" w:cs="仿宋"/>
          <w:sz w:val="32"/>
          <w:szCs w:val="32"/>
          <w:lang w:val="en-US" w:eastAsia="zh-CN"/>
        </w:rPr>
        <w:t>仅2024年1-10月份，对投诉举报处理结果不服，在我县就</w:t>
      </w:r>
      <w:r>
        <w:rPr>
          <w:rFonts w:hint="eastAsia" w:ascii="仿宋_GB2312" w:hAnsi="仿宋" w:eastAsia="仿宋_GB2312" w:cs="仿宋"/>
          <w:sz w:val="32"/>
          <w:szCs w:val="32"/>
          <w:lang w:eastAsia="zh-CN"/>
        </w:rPr>
        <w:t>申请了</w:t>
      </w:r>
      <w:r>
        <w:rPr>
          <w:rFonts w:hint="eastAsia" w:ascii="仿宋_GB2312" w:hAnsi="仿宋" w:eastAsia="仿宋_GB2312" w:cs="仿宋"/>
          <w:sz w:val="32"/>
          <w:szCs w:val="32"/>
          <w:lang w:val="en-US" w:eastAsia="zh-CN"/>
        </w:rPr>
        <w:t>4次</w:t>
      </w:r>
      <w:r>
        <w:rPr>
          <w:rFonts w:hint="eastAsia" w:ascii="仿宋_GB2312" w:hAnsi="仿宋" w:eastAsia="仿宋_GB2312" w:cs="仿宋"/>
          <w:sz w:val="32"/>
          <w:szCs w:val="32"/>
          <w:lang w:eastAsia="zh-CN"/>
        </w:rPr>
        <w:t>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sz w:val="32"/>
          <w:szCs w:val="32"/>
          <w:lang w:eastAsia="zh-CN"/>
        </w:rPr>
        <w:t>《中华人民共和国行政复议法》第六条第十一项规定：“有下列情形之一的，公民、法人或者其他组织可以依</w:t>
      </w:r>
      <w:r>
        <w:rPr>
          <w:rFonts w:hint="eastAsia" w:ascii="仿宋_GB2312" w:hAnsi="仿宋" w:eastAsia="仿宋_GB2312" w:cs="仿宋"/>
          <w:sz w:val="32"/>
          <w:szCs w:val="32"/>
        </w:rPr>
        <w:t>照本法申请行政复议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（十一）认为行政机关的其他具体行政行为侵犯其合法权益的。”《中华人民共和国行政复议法实施条例》第二十八条第二项规定：“行政复议申请符合下列规定</w:t>
      </w:r>
      <w:r>
        <w:rPr>
          <w:rFonts w:hint="eastAsia" w:ascii="仿宋_GB2312" w:hAnsi="仿宋" w:eastAsia="仿宋_GB2312" w:cs="仿宋"/>
          <w:color w:val="000000" w:themeColor="text1"/>
          <w:sz w:val="32"/>
          <w:szCs w:val="32"/>
          <w14:textFill>
            <w14:solidFill>
              <w14:schemeClr w14:val="tx1"/>
            </w14:solidFill>
          </w14:textFill>
        </w:rPr>
        <w:t>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w:t>
      </w:r>
      <w:r>
        <w:rPr>
          <w:rFonts w:hint="eastAsia" w:ascii="仿宋_GB2312" w:eastAsia="仿宋_GB2312"/>
          <w:sz w:val="32"/>
          <w:szCs w:val="32"/>
          <w:lang w:eastAsia="zh-CN"/>
        </w:rPr>
        <w:t>，</w:t>
      </w:r>
      <w:r>
        <w:rPr>
          <w:rFonts w:hint="eastAsia" w:ascii="仿宋_GB2312" w:eastAsia="仿宋_GB2312"/>
          <w:sz w:val="32"/>
          <w:szCs w:val="32"/>
        </w:rPr>
        <w:t>为维护自身合法权益向行政机关投诉</w:t>
      </w:r>
      <w:r>
        <w:rPr>
          <w:rFonts w:hint="eastAsia" w:ascii="仿宋_GB2312" w:eastAsia="仿宋_GB2312"/>
          <w:sz w:val="32"/>
          <w:szCs w:val="32"/>
          <w:lang w:eastAsia="zh-CN"/>
        </w:rPr>
        <w:t>，</w:t>
      </w:r>
      <w:r>
        <w:rPr>
          <w:rFonts w:hint="eastAsia" w:ascii="仿宋_GB2312" w:eastAsia="仿宋_GB2312"/>
          <w:sz w:val="32"/>
          <w:szCs w:val="32"/>
        </w:rPr>
        <w:t>具有处理投诉职责的行政机关作出或者未作出处理的，属于“与行政行为有利害关系”。据此</w:t>
      </w:r>
      <w:r>
        <w:rPr>
          <w:rFonts w:hint="eastAsia" w:ascii="仿宋_GB2312" w:eastAsia="仿宋_GB2312"/>
          <w:sz w:val="32"/>
          <w:szCs w:val="32"/>
          <w:lang w:eastAsia="zh-CN"/>
        </w:rPr>
        <w:t>，</w:t>
      </w:r>
      <w:r>
        <w:rPr>
          <w:rFonts w:hint="eastAsia" w:ascii="仿宋_GB2312" w:eastAsia="仿宋_GB2312"/>
          <w:sz w:val="32"/>
          <w:szCs w:val="32"/>
        </w:rPr>
        <w:t>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w:t>
      </w:r>
      <w:r>
        <w:rPr>
          <w:rFonts w:hint="eastAsia" w:ascii="仿宋_GB2312" w:eastAsia="仿宋_GB2312"/>
          <w:sz w:val="32"/>
          <w:szCs w:val="32"/>
          <w:lang w:eastAsia="zh-CN"/>
        </w:rPr>
        <w:t>，</w:t>
      </w:r>
      <w:r>
        <w:rPr>
          <w:rFonts w:hint="eastAsia" w:ascii="仿宋_GB2312" w:eastAsia="仿宋_GB2312"/>
          <w:sz w:val="32"/>
          <w:szCs w:val="32"/>
        </w:rPr>
        <w:t>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374</w:t>
      </w:r>
      <w:r>
        <w:rPr>
          <w:rFonts w:hint="eastAsia" w:ascii="仿宋_GB2312" w:eastAsia="仿宋_GB2312"/>
          <w:sz w:val="32"/>
          <w:szCs w:val="32"/>
        </w:rPr>
        <w:t>次投诉，</w:t>
      </w:r>
      <w:r>
        <w:rPr>
          <w:rFonts w:hint="eastAsia" w:ascii="仿宋_GB2312" w:eastAsia="仿宋_GB2312"/>
          <w:sz w:val="32"/>
          <w:szCs w:val="32"/>
          <w:lang w:val="en-US" w:eastAsia="zh-CN"/>
        </w:rPr>
        <w:t>53</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通过在超市购买产品，对购买产品提出投诉举报，仅2024年1-10月份短时间内对投诉举报处理结果不服，就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了4次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4DE26E3"/>
    <w:rsid w:val="057E4E8F"/>
    <w:rsid w:val="087C4131"/>
    <w:rsid w:val="10960B84"/>
    <w:rsid w:val="13DC42B1"/>
    <w:rsid w:val="148A41EB"/>
    <w:rsid w:val="19856C4C"/>
    <w:rsid w:val="1C3E1D3E"/>
    <w:rsid w:val="246F477F"/>
    <w:rsid w:val="25B0733F"/>
    <w:rsid w:val="30225346"/>
    <w:rsid w:val="315A2087"/>
    <w:rsid w:val="326D31C6"/>
    <w:rsid w:val="337A02B8"/>
    <w:rsid w:val="35ED10D9"/>
    <w:rsid w:val="362905E6"/>
    <w:rsid w:val="37261FA2"/>
    <w:rsid w:val="372919DB"/>
    <w:rsid w:val="382877F5"/>
    <w:rsid w:val="42A617C8"/>
    <w:rsid w:val="4A4D73EF"/>
    <w:rsid w:val="4CDD5875"/>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6FA236D9"/>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3288</Words>
  <Characters>3409</Characters>
  <Lines>0</Lines>
  <Paragraphs>0</Paragraphs>
  <TotalTime>13</TotalTime>
  <ScaleCrop>false</ScaleCrop>
  <LinksUpToDate>false</LinksUpToDate>
  <CharactersWithSpaces>3481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