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76</w:t>
      </w:r>
      <w:r>
        <w:rPr>
          <w:rFonts w:hint="default" w:ascii="仿宋_GB2312" w:hAnsi="仿宋" w:eastAsia="仿宋_GB2312" w:cs="仿宋"/>
          <w:sz w:val="32"/>
          <w:szCs w:val="32"/>
          <w:lang w:val="en-US" w:eastAsia="zh-CN"/>
        </w:rPr>
        <w:t>号</w:t>
      </w:r>
    </w:p>
    <w:bookmarkEnd w:id="0"/>
    <w:p w14:paraId="5DA18CC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姜某某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申请人不服通化县市场监督管理局对投诉举报作出的处理决定。于2024年9月9日向通化县人民政府申请行政复议，本机关依法已予受理，现已审理终结。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撤销被申请人对投诉举报作出的处理决定，责令重新作出处理。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color w:val="000000"/>
          <w:sz w:val="32"/>
          <w:szCs w:val="32"/>
          <w:lang w:val="en-US" w:eastAsia="zh-CN"/>
        </w:rPr>
        <w:t>被申请人对投诉举报作出的处理决定应依法予以撤销，主要理由是：</w:t>
      </w:r>
    </w:p>
    <w:p w14:paraId="3D1039F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一、案涉商品为药品，被申请人定性为保健品，显属不当。</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二、案涉店铺违法情节不构成轻微，且已造成严重后果。</w:t>
      </w:r>
    </w:p>
    <w:p w14:paraId="39D36A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三、被申请人未对投诉和举报分别进行处理。</w:t>
      </w:r>
    </w:p>
    <w:p w14:paraId="654B9E06">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b w:val="0"/>
          <w:bCs w:val="0"/>
          <w:sz w:val="32"/>
          <w:szCs w:val="32"/>
          <w:lang w:val="en-US" w:eastAsia="zh-CN"/>
        </w:rPr>
        <w:t>被申请人对申请人的投诉举报事项处理事实清楚、证据确凿、处理适当、程序合法。主要理由是：</w:t>
      </w:r>
    </w:p>
    <w:p w14:paraId="463B9EC3">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申请人经</w:t>
      </w:r>
      <w:r>
        <w:rPr>
          <w:rFonts w:hint="eastAsia" w:ascii="仿宋_GB2312" w:hAnsi="仿宋" w:eastAsia="仿宋_GB2312" w:cs="仿宋"/>
          <w:sz w:val="32"/>
          <w:szCs w:val="32"/>
        </w:rPr>
        <w:t>现场调查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案涉</w:t>
      </w:r>
      <w:r>
        <w:rPr>
          <w:rFonts w:hint="eastAsia" w:ascii="仿宋_GB2312" w:hAnsi="仿宋" w:eastAsia="仿宋_GB2312" w:cs="仿宋"/>
          <w:sz w:val="32"/>
          <w:szCs w:val="32"/>
        </w:rPr>
        <w:t>商品并非假冒伪劣产品。</w:t>
      </w:r>
    </w:p>
    <w:p w14:paraId="3CB93D5B">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案涉商品属于</w:t>
      </w:r>
      <w:r>
        <w:rPr>
          <w:rFonts w:hint="eastAsia" w:ascii="仿宋_GB2312" w:hAnsi="仿宋" w:eastAsia="仿宋_GB2312" w:cs="仿宋"/>
          <w:sz w:val="32"/>
          <w:szCs w:val="32"/>
        </w:rPr>
        <w:t>保健食品与保健用品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并非药品。</w:t>
      </w:r>
    </w:p>
    <w:p w14:paraId="34AD24CB">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该店部分商品无中文标签</w:t>
      </w:r>
      <w:r>
        <w:rPr>
          <w:rFonts w:hint="eastAsia" w:ascii="仿宋_GB2312" w:hAnsi="仿宋" w:eastAsia="仿宋_GB2312" w:cs="仿宋"/>
          <w:sz w:val="32"/>
          <w:szCs w:val="32"/>
          <w:lang w:val="en-US" w:eastAsia="zh-CN"/>
        </w:rPr>
        <w:t>的行为，因</w:t>
      </w:r>
      <w:r>
        <w:rPr>
          <w:rFonts w:hint="eastAsia" w:ascii="仿宋_GB2312" w:hAnsi="仿宋" w:eastAsia="仿宋_GB2312" w:cs="仿宋"/>
          <w:sz w:val="32"/>
          <w:szCs w:val="32"/>
        </w:rPr>
        <w:t>商家认错态度良好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并有意愿为</w:t>
      </w:r>
      <w:r>
        <w:rPr>
          <w:rFonts w:hint="eastAsia" w:ascii="仿宋_GB2312" w:hAnsi="仿宋" w:eastAsia="仿宋_GB2312" w:cs="仿宋"/>
          <w:sz w:val="32"/>
          <w:szCs w:val="32"/>
          <w:lang w:val="en-US" w:eastAsia="zh-CN"/>
        </w:rPr>
        <w:t>申请人</w:t>
      </w:r>
      <w:r>
        <w:rPr>
          <w:rFonts w:hint="eastAsia" w:ascii="仿宋_GB2312" w:hAnsi="仿宋" w:eastAsia="仿宋_GB2312" w:cs="仿宋"/>
          <w:sz w:val="32"/>
          <w:szCs w:val="32"/>
        </w:rPr>
        <w:t>退货退款，</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根据《市场监督管理行政处罚程序规定》第二十条决定不予立案，</w:t>
      </w:r>
      <w:r>
        <w:rPr>
          <w:rFonts w:hint="eastAsia" w:ascii="仿宋_GB2312" w:hAnsi="仿宋" w:eastAsia="仿宋_GB2312" w:cs="仿宋"/>
          <w:sz w:val="32"/>
          <w:szCs w:val="32"/>
          <w:lang w:val="en-US" w:eastAsia="zh-CN"/>
        </w:rPr>
        <w:t>符合法律规定</w:t>
      </w:r>
      <w:r>
        <w:rPr>
          <w:rFonts w:hint="eastAsia" w:ascii="仿宋_GB2312" w:hAnsi="仿宋" w:eastAsia="仿宋_GB2312" w:cs="仿宋"/>
          <w:sz w:val="32"/>
          <w:szCs w:val="32"/>
        </w:rPr>
        <w:t>。</w:t>
      </w:r>
    </w:p>
    <w:p w14:paraId="0B9F8DC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四、复议申请人非普通消费者。</w:t>
      </w:r>
    </w:p>
    <w:p w14:paraId="786BAEEC">
      <w:pPr>
        <w:spacing w:after="0" w:line="576" w:lineRule="exac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上述事实有下列证据证明：</w:t>
      </w:r>
    </w:p>
    <w:p w14:paraId="10A6CEE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一、商品购买截图1张；</w:t>
      </w:r>
    </w:p>
    <w:p w14:paraId="4B1D2C37">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二、商品实物图照片4张；</w:t>
      </w:r>
    </w:p>
    <w:p w14:paraId="6CE08957">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三、被申请人出具情况说明。</w:t>
      </w:r>
    </w:p>
    <w:p w14:paraId="0299EC75">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8月15日，申请人通过邮寄方式进行投诉举报；被申请人对投诉举报分别进行了处理，对投诉进行了调解，因双方未达成合意，被申请人决定终止调解；2024年8月22日，被申请人对举报作出不予立案的处理决定，并与当日告知申请人；2024年9月9日，申请人不服该处理决定，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4B4907B0">
      <w:pPr>
        <w:pStyle w:val="6"/>
        <w:numPr>
          <w:ilvl w:val="0"/>
          <w:numId w:val="0"/>
        </w:numPr>
        <w:spacing w:before="0" w:beforeAutospacing="0" w:after="0" w:afterAutospacing="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一、被申请人对投诉举报的处理程序合法，履行了法定职责。</w:t>
      </w:r>
    </w:p>
    <w:p w14:paraId="2F05F0F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对投诉举报已履行了受理、告知的程序，并开展了调查工作，对投诉进行了调解，对举报作出了不予立案的处理决定并告知申请人，因此被申请人履行了法定职责，符合法律规定。</w:t>
      </w:r>
    </w:p>
    <w:p w14:paraId="01C2A97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二、被申请人对案涉商品性质的认定并无不当。</w:t>
      </w:r>
    </w:p>
    <w:p w14:paraId="769D077A">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经调查了解，投诉举报商品中涉及到日本第三类医药品，因日本医药管理标准与我国医药管理标准在分类认定方面</w:t>
      </w:r>
      <w:r>
        <w:rPr>
          <w:rFonts w:hint="eastAsia" w:ascii="仿宋_GB2312" w:hAnsi="仿宋" w:eastAsia="仿宋_GB2312" w:cs="仿宋"/>
          <w:sz w:val="32"/>
          <w:szCs w:val="32"/>
          <w:lang w:val="en-US" w:eastAsia="zh-CN"/>
        </w:rPr>
        <w:t>有差异，案涉商品在本案中不宜认定为药品，故结合商品特征、目的作用、当地执法中的类案经验等，认定其属于保健品、保健食品等并无不当。即使是个别商品能够被认定为符合中国药品管理的标准，根据《中华人民共和国药品管理法》第124条：“未经批准进口少量境外已合法上市的药品，情节较轻的，可以减轻或者免予处罚。”也不能因为没有经过管理部门批准而当然被认定为假药。</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三、被申请人对投诉举报作出的处理决定事实清楚、适用法律依据正确。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本案中，案涉商家确实存在销售的部分商品没有中文标签的行为，鉴于商家认错态度良好，并有意愿为申请人退货退款，被申请人据此作出不予立案决定，并及时告知申请人，故申请人请求撤销对投诉举报作出的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维持被申请人对投诉举报作出的处理决定。</w:t>
      </w:r>
    </w:p>
    <w:p w14:paraId="3A69750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ascii="仿宋_GB2312" w:hAnsi="仿宋" w:eastAsia="仿宋_GB2312" w:cs="仿宋"/>
          <w:sz w:val="32"/>
          <w:szCs w:val="32"/>
          <w:lang w:val="en-US" w:eastAsia="zh-CN"/>
        </w:rPr>
      </w:pPr>
    </w:p>
    <w:p w14:paraId="4376E44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通化县人民政府</w:t>
      </w:r>
    </w:p>
    <w:p w14:paraId="22DDBC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二〇二四年十</w:t>
      </w: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月二日</w:t>
      </w:r>
    </w:p>
    <w:p w14:paraId="0DD120A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013ED4"/>
    <w:rsid w:val="057E4E8F"/>
    <w:rsid w:val="087C4131"/>
    <w:rsid w:val="10960B84"/>
    <w:rsid w:val="13DC42B1"/>
    <w:rsid w:val="148A41EB"/>
    <w:rsid w:val="19856C4C"/>
    <w:rsid w:val="1C3E1D3E"/>
    <w:rsid w:val="246F477F"/>
    <w:rsid w:val="25B0733F"/>
    <w:rsid w:val="280834D9"/>
    <w:rsid w:val="30225346"/>
    <w:rsid w:val="326D31C6"/>
    <w:rsid w:val="337A02B8"/>
    <w:rsid w:val="35881FA4"/>
    <w:rsid w:val="35ED10D9"/>
    <w:rsid w:val="362905E6"/>
    <w:rsid w:val="37261FA2"/>
    <w:rsid w:val="372919DB"/>
    <w:rsid w:val="382877F5"/>
    <w:rsid w:val="3AA71671"/>
    <w:rsid w:val="42A617C8"/>
    <w:rsid w:val="45395141"/>
    <w:rsid w:val="4A4D73EF"/>
    <w:rsid w:val="4CDD5875"/>
    <w:rsid w:val="528B0930"/>
    <w:rsid w:val="52E64215"/>
    <w:rsid w:val="53C52BAA"/>
    <w:rsid w:val="56B33D02"/>
    <w:rsid w:val="58C53C0D"/>
    <w:rsid w:val="591E2AC0"/>
    <w:rsid w:val="598F29D8"/>
    <w:rsid w:val="5C0F6FB7"/>
    <w:rsid w:val="5CC60AEB"/>
    <w:rsid w:val="5DA853E8"/>
    <w:rsid w:val="5DEC7A21"/>
    <w:rsid w:val="5F6B2D1C"/>
    <w:rsid w:val="5F930B54"/>
    <w:rsid w:val="60281F46"/>
    <w:rsid w:val="611B233B"/>
    <w:rsid w:val="63040BF8"/>
    <w:rsid w:val="63FA7FB6"/>
    <w:rsid w:val="64093C6C"/>
    <w:rsid w:val="65622202"/>
    <w:rsid w:val="6888136E"/>
    <w:rsid w:val="69510DCD"/>
    <w:rsid w:val="6C5A2D68"/>
    <w:rsid w:val="70962454"/>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1610</Words>
  <Characters>1634</Characters>
  <Lines>0</Lines>
  <Paragraphs>0</Paragraphs>
  <TotalTime>0</TotalTime>
  <ScaleCrop>false</ScaleCrop>
  <LinksUpToDate>false</LinksUpToDate>
  <CharactersWithSpaces>1703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2026-03-24T01:10:31Z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