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59</w:t>
      </w:r>
      <w:r>
        <w:rPr>
          <w:rFonts w:hint="default" w:ascii="Times New Roman" w:hAnsi="Times New Roman" w:eastAsia="仿宋_GB2312" w:cs="Times New Roman"/>
          <w:b w:val="0"/>
          <w:bCs w:val="0"/>
          <w:color w:val="000000"/>
          <w:sz w:val="32"/>
          <w:szCs w:val="32"/>
          <w:lang w:val="en-US" w:eastAsia="zh-CN"/>
        </w:rPr>
        <w:t>号</w:t>
      </w:r>
    </w:p>
    <w:bookmarkEnd w:id="0"/>
    <w:p w14:paraId="3009785C">
      <w:pPr>
        <w:spacing w:after="0" w:line="576" w:lineRule="exact"/>
        <w:ind w:firstLine="640" w:firstLineChars="200"/>
        <w:jc w:val="both"/>
        <w:rPr>
          <w:rFonts w:hint="default"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宋某</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申请人不服通化县市场监督管理局对举报作出不予立案的处理决定。于2024年6月19日向通化县人民政府申请行政复议，本机关依法已予受理，现已审理终结。</w:t>
      </w:r>
    </w:p>
    <w:p w14:paraId="10B75C4F">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申请人请求：撤销被申请人对举报作出不予立案的处理决定。</w:t>
      </w:r>
    </w:p>
    <w:p w14:paraId="2592336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申请人称：申请人因生活需要在超市购买通化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香薰肉球，被投诉举报商品蛋白质含量，没有达到该商品所标注的执行标准SB/T10279对于质量等级为普通级的蛋白的含量规定，不符合食品安全规定。被申请人于2024年5月27日作出回复为举报不予立案的决定，申请人认为被投诉举报人作为生产厂家，对于食品的安全认知和相关规定肯定高于普通消费者。产品营养成分表肯定是经过第三方检测才印制到产品外包装的，被投诉人生产工艺未达到执行标准要求，应是故意为之，被投诉举报厂家不可能没有检验标签，核对相关信息就投入使用，被申请人回复说查验了检测报告，属于合格产品，申请人并不认可，就检测报告来说是否为同一批商品，是否为同款商品的检测，被申请人回复中并未说明。再者被申请人回复没有对消费者产生误导申请人更是不认可，商品营养成分没有达到执行标准要求，属于不合格产品，但商品却标注为普通级怎会没有误导消费者。</w:t>
      </w:r>
    </w:p>
    <w:p w14:paraId="6AFE770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被申请人称：被申请人于2024年5月</w:t>
      </w:r>
      <w:r>
        <w:rPr>
          <w:rFonts w:hint="eastAsia" w:eastAsia="仿宋_GB2312" w:cs="Times New Roman"/>
          <w:b w:val="0"/>
          <w:bCs w:val="0"/>
          <w:color w:val="000000"/>
          <w:sz w:val="32"/>
          <w:szCs w:val="32"/>
          <w:lang w:val="en-US" w:eastAsia="zh-CN"/>
        </w:rPr>
        <w:t>17</w:t>
      </w:r>
      <w:r>
        <w:rPr>
          <w:rFonts w:hint="eastAsia" w:ascii="Times New Roman" w:hAnsi="Times New Roman" w:eastAsia="仿宋_GB2312" w:cs="Times New Roman"/>
          <w:b w:val="0"/>
          <w:bCs w:val="0"/>
          <w:color w:val="000000"/>
          <w:sz w:val="32"/>
          <w:szCs w:val="32"/>
          <w:lang w:val="en-US" w:eastAsia="zh-CN"/>
        </w:rPr>
        <w:t>日收到申请人投诉举报：在超市购买</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食品生产的“香熏肉球”，被投诉商品蛋白质含量没有达到该商品所标注的执行标准SB/T10279对于质量等级为普通级的蛋白的含量规定，不符合食品安全规定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所以投诉举报到贵局调查。</w:t>
      </w:r>
    </w:p>
    <w:p w14:paraId="29615433">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收到投诉信息后，被申请人及时通知申请人进行调解。因被投诉人拒绝调解，市场监管部门并无责令退赔费用、赔偿损失的职权，被申请人依法终止调解程序并告知了申请人，以上行为符合《市场监督管理投诉举报处理暂行办法》的程序规定。</w:t>
      </w:r>
    </w:p>
    <w:p w14:paraId="4BFB46B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针对申请人的举报，《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被申请人已经在法定时限内对申请人进行了回复，履行了告知义务，被申请人处理该举报件程序符合规定。</w:t>
      </w:r>
    </w:p>
    <w:p w14:paraId="173691D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一、被申请人作出不予立案决定的事实及依据</w:t>
      </w:r>
    </w:p>
    <w:p w14:paraId="07AB047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经核查，通化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食品有限公司生产的“香熏肉球”产品标签营养成分表中蛋白含量标注为9.9g/100g</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并且标注质量等级为普通级。按照该产品执行标准SB/T 10279的要求，标注为普通级的蛋白含量应≥10。通过查阅企业提供的产品检验报告，该产品的蛋白含量符合标注中关于普通级的要求（该产品检验报告日期早于申请人所购买产品生产日期），同时将合格产品标注为不合格产品明显有悖常理（如想误导消费者应该将不合格产品标注为合格产品）</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明显不具有主观故意情形。该产品有符合标准规定的检验报告（该产品的执行标准为商业部标准而非食品安全国家标准），不影响食品安全且不会对消费者造成误导，故可以将此标签问题认定为瑕疵，且企业已经改正了该标签瑕疵行为。综上，被申请人依据《市场监督管理行政处罚程序规定》之规定，作出的不予立案决定并无不妥。</w:t>
      </w:r>
    </w:p>
    <w:p w14:paraId="6690EDA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二、复议申请人非普通消费者</w:t>
      </w:r>
    </w:p>
    <w:p w14:paraId="2D7962E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申请人在12315平台虽然没有投诉举报记录，但从其对法律法规、相关标准的掌握情况以及对救济途径的熟练运用等情况综合分析，判断申请人购物行为超出合理的生活消费范围，并非普通消费者。</w:t>
      </w:r>
    </w:p>
    <w:p w14:paraId="5927F2FA">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三、申请人对被申请人作出的不予立案决定不具备行政复议资格</w:t>
      </w:r>
    </w:p>
    <w:p w14:paraId="2CEC9FF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复议法实施条例》第二十八条规定，申请人与被申请复议的行政行为有“利害关系”，是申请复议的公民、法人或者其他组织具有申请人资格、复议机关应当受理其复议申请的法定条件之一。申请人虽然是消费者，但申请人要求被投诉举报人赔偿是民事纠纷，被申请人对投诉举报中涉及的违法行为作出的行政处理决定不能使申请人在之前交易中可能受侵害的权益获得救济，也不能对交易行为已完成的申请人产生新的侵害，申请人仍能通过对人民法院提起民事诉讼的方式实现其民事求偿权，故此投诉举报的作用仅在于为市场监管部门查处违法违规行为提供线索或者证据，使未来可能的购买者避免利益受损，其保护的是不特定的社会公共利益，并非保护某个特定消费者的权益，被申请人对被投诉举报人作出的行政处理决定均未新增、变更、减损申请人的任何权利或义务，申请人与被申请人的行政处理决定不存在利害关系。同时依据《市场监管总局关于做好行政复议行政应诉工作的指导意见》国市监法发〔2024〕1 号文件：（七）做好行政复议与投诉举报处理工作的衔接。各级市场监管部门要按照有关规定，区分处理投诉和举报事项。对消费者向市场监管部门提出解决消费纠纷的投诉事项，市场监管部门作为第三人作出的居间调解行为，属于《行政复议法》第十二条第四项“行政机关对民事纠纷作出的调解”情形，依法不纳入行政复议范围。对于实名举报人向市场监管部门举报的违法线索，属于市场监管部门职责范围的，市场监管部门应当依法核查后将是否立案决定告知实名举报人，有特别规定的，从其特别规定；未告知的，实名举报人可以对此提起行政复议申请。实名举报人对是否立案决定、调查程序、处理结果等市场监管部门依法开展的查处行为提起行政复议，除实名举报人能够证明有利害关系之外，不属于行政复议受理范围。</w:t>
      </w:r>
    </w:p>
    <w:p w14:paraId="272C922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综上所述，被申请人对申请人的投诉事项处理事实清楚、证据确凿、处理适当、程序合法，且申请人不具有复议主体资格。</w:t>
      </w:r>
    </w:p>
    <w:p w14:paraId="6E87061C">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17</w:t>
      </w:r>
      <w:r>
        <w:rPr>
          <w:rFonts w:hint="eastAsia" w:ascii="Times New Roman" w:hAnsi="Times New Roman" w:eastAsia="仿宋_GB2312" w:cs="Times New Roman"/>
          <w:b w:val="0"/>
          <w:bCs w:val="0"/>
          <w:color w:val="000000"/>
          <w:sz w:val="32"/>
          <w:szCs w:val="32"/>
          <w:lang w:val="en-US" w:eastAsia="zh-CN"/>
        </w:rPr>
        <w:t>日，</w:t>
      </w:r>
      <w:r>
        <w:rPr>
          <w:rFonts w:hint="eastAsia" w:eastAsia="仿宋_GB2312" w:cs="Times New Roman"/>
          <w:b w:val="0"/>
          <w:bCs w:val="0"/>
          <w:color w:val="000000"/>
          <w:sz w:val="32"/>
          <w:szCs w:val="32"/>
          <w:lang w:val="en-US" w:eastAsia="zh-CN"/>
        </w:rPr>
        <w:t>被申请人收到</w:t>
      </w:r>
      <w:r>
        <w:rPr>
          <w:rFonts w:hint="eastAsia" w:ascii="Times New Roman" w:hAnsi="Times New Roman" w:eastAsia="仿宋_GB2312" w:cs="Times New Roman"/>
          <w:b w:val="0"/>
          <w:bCs w:val="0"/>
          <w:color w:val="000000"/>
          <w:sz w:val="32"/>
          <w:szCs w:val="32"/>
          <w:lang w:val="en-US" w:eastAsia="zh-CN"/>
        </w:rPr>
        <w:t>申请人</w:t>
      </w:r>
      <w:r>
        <w:rPr>
          <w:rFonts w:hint="eastAsia" w:eastAsia="仿宋_GB2312" w:cs="Times New Roman"/>
          <w:b w:val="0"/>
          <w:bCs w:val="0"/>
          <w:color w:val="000000"/>
          <w:sz w:val="32"/>
          <w:szCs w:val="32"/>
          <w:lang w:val="en-US" w:eastAsia="zh-CN"/>
        </w:rPr>
        <w:t>的投诉举报信件</w:t>
      </w:r>
      <w:r>
        <w:rPr>
          <w:rFonts w:hint="eastAsia" w:ascii="Times New Roman" w:hAnsi="Times New Roman" w:eastAsia="仿宋_GB2312" w:cs="Times New Roman"/>
          <w:b w:val="0"/>
          <w:bCs w:val="0"/>
          <w:color w:val="000000"/>
          <w:sz w:val="32"/>
          <w:szCs w:val="32"/>
          <w:lang w:val="en-US" w:eastAsia="zh-CN"/>
        </w:rPr>
        <w:t>；被申请人</w:t>
      </w:r>
      <w:r>
        <w:rPr>
          <w:rFonts w:hint="eastAsia" w:eastAsia="仿宋_GB2312" w:cs="Times New Roman"/>
          <w:b w:val="0"/>
          <w:bCs w:val="0"/>
          <w:color w:val="000000"/>
          <w:sz w:val="32"/>
          <w:szCs w:val="32"/>
          <w:lang w:val="en-US" w:eastAsia="zh-CN"/>
        </w:rPr>
        <w:t>对投诉和举报分别进行了处理</w:t>
      </w:r>
      <w:r>
        <w:rPr>
          <w:rFonts w:hint="eastAsia"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针对投诉，被申请人进行了调解，</w:t>
      </w:r>
      <w:r>
        <w:rPr>
          <w:rFonts w:hint="eastAsia" w:ascii="Times New Roman" w:hAnsi="Times New Roman" w:eastAsia="仿宋_GB2312" w:cs="Times New Roman"/>
          <w:b w:val="0"/>
          <w:bCs w:val="0"/>
          <w:color w:val="000000"/>
          <w:sz w:val="32"/>
          <w:szCs w:val="32"/>
          <w:lang w:val="en-US" w:eastAsia="zh-CN"/>
        </w:rPr>
        <w:t>因双方未达成和解协议，被申请人终止了调解；2024年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27</w:t>
      </w:r>
      <w:r>
        <w:rPr>
          <w:rFonts w:hint="eastAsia" w:ascii="Times New Roman" w:hAnsi="Times New Roman" w:eastAsia="仿宋_GB2312" w:cs="Times New Roman"/>
          <w:b w:val="0"/>
          <w:bCs w:val="0"/>
          <w:color w:val="000000"/>
          <w:sz w:val="32"/>
          <w:szCs w:val="32"/>
          <w:lang w:val="en-US" w:eastAsia="zh-CN"/>
        </w:rPr>
        <w:t>日被申请人对举报作出不予立案的处理决定，</w:t>
      </w:r>
      <w:r>
        <w:rPr>
          <w:rFonts w:hint="eastAsia" w:eastAsia="仿宋_GB2312" w:cs="Times New Roman"/>
          <w:b w:val="0"/>
          <w:bCs w:val="0"/>
          <w:color w:val="000000"/>
          <w:sz w:val="32"/>
          <w:szCs w:val="32"/>
          <w:lang w:val="en-US" w:eastAsia="zh-CN"/>
        </w:rPr>
        <w:t>并于当日</w:t>
      </w:r>
      <w:r>
        <w:rPr>
          <w:rFonts w:hint="eastAsia" w:ascii="Times New Roman" w:hAnsi="Times New Roman" w:eastAsia="仿宋_GB2312" w:cs="Times New Roman"/>
          <w:b w:val="0"/>
          <w:bCs w:val="0"/>
          <w:color w:val="000000"/>
          <w:sz w:val="32"/>
          <w:szCs w:val="32"/>
          <w:lang w:val="en-US" w:eastAsia="zh-CN"/>
        </w:rPr>
        <w:t>将处理决定</w:t>
      </w:r>
      <w:r>
        <w:rPr>
          <w:rFonts w:hint="eastAsia" w:eastAsia="仿宋_GB2312" w:cs="Times New Roman"/>
          <w:b w:val="0"/>
          <w:bCs w:val="0"/>
          <w:color w:val="000000"/>
          <w:sz w:val="32"/>
          <w:szCs w:val="32"/>
          <w:lang w:val="en-US" w:eastAsia="zh-CN"/>
        </w:rPr>
        <w:t>邮寄给申请人</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月1</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日，申请人不服被申请人对投诉举报作出的处理决定，提起行政复议申请。</w:t>
      </w:r>
    </w:p>
    <w:p w14:paraId="2BA4340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对投诉进行了调解，对举报作出了不予立案的处理决定，因此被申请人履行了法定职责，符合法律规定。</w:t>
      </w:r>
    </w:p>
    <w:p w14:paraId="069DF5D5">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sz w:val="32"/>
          <w:szCs w:val="32"/>
          <w:lang w:val="en-US" w:eastAsia="zh-CN"/>
        </w:rPr>
        <w:t>二、</w:t>
      </w:r>
      <w:r>
        <w:rPr>
          <w:rFonts w:hint="eastAsia" w:ascii="仿宋" w:hAnsi="仿宋" w:eastAsia="仿宋" w:cs="仿宋"/>
          <w:color w:val="000000" w:themeColor="text1"/>
          <w:sz w:val="32"/>
          <w:szCs w:val="32"/>
          <w:lang w:val="en-US" w:eastAsia="zh-CN"/>
          <w14:textFill>
            <w14:solidFill>
              <w14:schemeClr w14:val="tx1"/>
            </w14:solidFill>
          </w14:textFill>
        </w:rPr>
        <w:t>根据《市场监督管理行政处罚程序规定》第二十条第一款规定，经核查，有下列情形之一的，可以不予立案：（一）违法行为轻微并及时改正，没有造成危害后果；（二）初次违法且危害后果轻微并及时改正；（三）当事人有证据足以证明没有主观过错，但法律、行政法规另有规定的除外；（四）依法可以不予立案的其他情形。本案中，被申请人收到申请人的投诉举报后，进行了现场核查，发现被投诉举报人在产品标签方面确有瑕疵，被投诉举报人立即整改，已经对标签进行了更换，并且未对申请人造成危害后果，被申请人据此作出不予立案决定，并及时告知申请人，被申请人的不予立案决定及投诉举报告知并无不当。</w:t>
      </w:r>
    </w:p>
    <w:p w14:paraId="70CE1D8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spacing w:after="0" w:line="576" w:lineRule="exact"/>
        <w:ind w:firstLine="5440" w:firstLineChars="17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二〇二四年八月十四日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56223EF"/>
    <w:rsid w:val="19856C4C"/>
    <w:rsid w:val="1C3E1D3E"/>
    <w:rsid w:val="1CEC2B3E"/>
    <w:rsid w:val="1D1B1C28"/>
    <w:rsid w:val="1F8B1567"/>
    <w:rsid w:val="246F477F"/>
    <w:rsid w:val="25B0733F"/>
    <w:rsid w:val="2813162D"/>
    <w:rsid w:val="29AD284E"/>
    <w:rsid w:val="2C043974"/>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335426"/>
    <w:rsid w:val="45433878"/>
    <w:rsid w:val="48E3774F"/>
    <w:rsid w:val="4BA8021E"/>
    <w:rsid w:val="4C5D0A13"/>
    <w:rsid w:val="4CDD5875"/>
    <w:rsid w:val="52D30AFD"/>
    <w:rsid w:val="52E64215"/>
    <w:rsid w:val="56B33D02"/>
    <w:rsid w:val="58C53C0D"/>
    <w:rsid w:val="598F29D8"/>
    <w:rsid w:val="5C0F6FB7"/>
    <w:rsid w:val="5DA853E8"/>
    <w:rsid w:val="5DEC7A21"/>
    <w:rsid w:val="5ED26DE0"/>
    <w:rsid w:val="5F930B54"/>
    <w:rsid w:val="64093C6C"/>
    <w:rsid w:val="645B2E95"/>
    <w:rsid w:val="65622202"/>
    <w:rsid w:val="69510DCD"/>
    <w:rsid w:val="6C3E101B"/>
    <w:rsid w:val="6C5A2D68"/>
    <w:rsid w:val="709C542C"/>
    <w:rsid w:val="775D5288"/>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3232</Words>
  <Characters>3309</Characters>
  <Lines>0</Lines>
  <Paragraphs>0</Paragraphs>
  <TotalTime>0</TotalTime>
  <ScaleCrop>false</ScaleCrop>
  <LinksUpToDate>false</LinksUpToDate>
  <CharactersWithSpaces>3387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2026-03-24T03:01:08Z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