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eastAsia="仿宋_GB2312"/>
          <w:color w:val="000000"/>
          <w:sz w:val="32"/>
          <w:szCs w:val="32"/>
          <w:lang w:val="en-US" w:eastAsia="zh-CN"/>
        </w:rPr>
      </w:pPr>
      <w:r>
        <w:rPr>
          <w:rFonts w:hint="eastAsia" w:ascii="仿宋_GB2312" w:hAnsi="仿宋" w:eastAsia="仿宋_GB2312" w:cs="仿宋"/>
          <w:sz w:val="32"/>
          <w:szCs w:val="32"/>
          <w:lang w:val="en-US" w:eastAsia="zh-CN"/>
        </w:rPr>
        <w:t>通县政</w:t>
      </w:r>
      <w:r>
        <w:rPr>
          <w:rFonts w:hint="default" w:ascii="仿宋_GB2312" w:hAnsi="仿宋" w:eastAsia="仿宋_GB2312" w:cs="仿宋"/>
          <w:sz w:val="32"/>
          <w:szCs w:val="32"/>
          <w:lang w:val="en-US" w:eastAsia="zh-CN"/>
        </w:rPr>
        <w:t>复〔</w:t>
      </w:r>
      <w:r>
        <w:rPr>
          <w:rFonts w:hint="eastAsia" w:ascii="仿宋_GB2312" w:hAnsi="仿宋" w:eastAsia="仿宋_GB2312" w:cs="仿宋"/>
          <w:sz w:val="32"/>
          <w:szCs w:val="32"/>
          <w:lang w:val="en-US" w:eastAsia="zh-CN"/>
        </w:rPr>
        <w:t>2025</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12</w:t>
      </w:r>
      <w:r>
        <w:rPr>
          <w:rFonts w:hint="default" w:ascii="仿宋_GB2312" w:hAnsi="仿宋" w:eastAsia="仿宋_GB2312" w:cs="仿宋"/>
          <w:sz w:val="32"/>
          <w:szCs w:val="32"/>
          <w:lang w:val="en-US" w:eastAsia="zh-CN"/>
        </w:rPr>
        <w:t>号</w:t>
      </w:r>
    </w:p>
    <w:p w14:paraId="1CC68A14">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Times New Roman" w:hAnsi="Times New Roman" w:eastAsia="仿宋_GB2312"/>
          <w:b/>
          <w:bCs/>
          <w:color w:val="000000"/>
          <w:sz w:val="32"/>
          <w:szCs w:val="32"/>
        </w:rPr>
        <w:t>申 请 人</w:t>
      </w:r>
      <w:r>
        <w:rPr>
          <w:rFonts w:hint="eastAsia" w:eastAsia="仿宋_GB2312"/>
          <w:b/>
          <w:bCs/>
          <w:color w:val="000000"/>
          <w:sz w:val="32"/>
          <w:szCs w:val="32"/>
          <w:lang w:eastAsia="zh-CN"/>
        </w:rPr>
        <w:t>：</w:t>
      </w:r>
      <w:r>
        <w:rPr>
          <w:rFonts w:hint="eastAsia" w:eastAsia="仿宋_GB2312"/>
          <w:color w:val="000000"/>
          <w:sz w:val="32"/>
          <w:szCs w:val="32"/>
          <w:lang w:val="en-US" w:eastAsia="zh-CN"/>
        </w:rPr>
        <w:t>许某某</w:t>
      </w:r>
    </w:p>
    <w:p w14:paraId="45776DBC">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691BF88F">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住    所：</w:t>
      </w:r>
      <w:r>
        <w:rPr>
          <w:rFonts w:hint="eastAsia" w:ascii="仿宋_GB2312" w:hAnsi="仿宋" w:eastAsia="仿宋_GB2312" w:cs="仿宋"/>
          <w:sz w:val="32"/>
          <w:szCs w:val="32"/>
        </w:rPr>
        <w:t>通化县快大茂镇同德路1888号</w:t>
      </w:r>
    </w:p>
    <w:p w14:paraId="30396527">
      <w:pPr>
        <w:spacing w:after="0" w:line="576" w:lineRule="exact"/>
        <w:ind w:firstLine="640" w:firstLineChars="200"/>
        <w:jc w:val="both"/>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申请人不服通化县市场监督管理局对举报作出的不予立案处理决定。于2025年3月3日向通化县人民政府申请行政复议，本机关依法已予受理，现已审理终结。</w:t>
      </w:r>
    </w:p>
    <w:p w14:paraId="6C910FFF">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撤销被申请人对举报作出的不予立案处理决定。</w:t>
      </w:r>
    </w:p>
    <w:p w14:paraId="6929467C">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jc w:val="both"/>
        <w:textAlignment w:val="auto"/>
        <w:rPr>
          <w:rFonts w:hint="eastAsia"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申请人称：</w:t>
      </w:r>
      <w:r>
        <w:rPr>
          <w:rFonts w:hint="eastAsia" w:eastAsia="仿宋_GB2312"/>
          <w:color w:val="000000"/>
          <w:sz w:val="32"/>
          <w:szCs w:val="32"/>
          <w:lang w:val="en-US" w:eastAsia="zh-CN"/>
        </w:rPr>
        <w:t>被申请人对举报的处理法律适用错误、并未调查清楚、缺乏事实依据。主要理由是：</w:t>
      </w:r>
    </w:p>
    <w:p w14:paraId="394D589B">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一、被申请人未按照法律规定进行抽检和风险评估。</w:t>
      </w:r>
    </w:p>
    <w:p w14:paraId="01F74CDD">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二、被申请人未尽到充分调查义务。</w:t>
      </w:r>
    </w:p>
    <w:p w14:paraId="654B9E06">
      <w:pPr>
        <w:spacing w:after="0" w:line="576" w:lineRule="exact"/>
        <w:ind w:firstLine="643" w:firstLineChars="200"/>
        <w:jc w:val="both"/>
        <w:rPr>
          <w:rFonts w:hint="eastAsia" w:eastAsia="仿宋_GB2312"/>
          <w:color w:val="000000"/>
          <w:sz w:val="32"/>
          <w:szCs w:val="32"/>
          <w:lang w:val="en-US" w:eastAsia="zh-CN"/>
        </w:rPr>
      </w:pPr>
      <w:r>
        <w:rPr>
          <w:rFonts w:hint="eastAsia" w:ascii="仿宋_GB2312" w:hAnsi="仿宋" w:eastAsia="仿宋_GB2312" w:cs="仿宋"/>
          <w:b/>
          <w:bCs/>
          <w:sz w:val="32"/>
          <w:szCs w:val="32"/>
          <w:lang w:val="en-US" w:eastAsia="zh-CN"/>
        </w:rPr>
        <w:t>被申请人答复称：</w:t>
      </w:r>
      <w:r>
        <w:rPr>
          <w:rFonts w:hint="eastAsia" w:eastAsia="仿宋_GB2312"/>
          <w:color w:val="000000"/>
          <w:sz w:val="32"/>
          <w:szCs w:val="32"/>
          <w:lang w:val="en-US" w:eastAsia="zh-CN"/>
        </w:rPr>
        <w:t>被申请人对举报事项的处理事实清楚、证据确凿、处理适当、程序合法，且申请人不具有复议主体资格。主要理由是：</w:t>
      </w:r>
    </w:p>
    <w:p w14:paraId="463B9EC3">
      <w:pPr>
        <w:spacing w:after="0" w:line="576" w:lineRule="exact"/>
        <w:ind w:firstLine="640" w:firstLineChars="200"/>
        <w:jc w:val="both"/>
        <w:rPr>
          <w:rFonts w:hint="default" w:ascii="仿宋_GB2312" w:hAnsi="仿宋" w:eastAsia="仿宋_GB2312" w:cs="仿宋"/>
          <w:sz w:val="32"/>
          <w:szCs w:val="32"/>
          <w:lang w:val="en-US"/>
        </w:rPr>
      </w:pPr>
      <w:r>
        <w:rPr>
          <w:rFonts w:hint="eastAsia" w:ascii="仿宋_GB2312" w:hAnsi="仿宋" w:eastAsia="仿宋_GB2312" w:cs="仿宋"/>
          <w:sz w:val="32"/>
          <w:szCs w:val="32"/>
        </w:rPr>
        <w:t>一、</w:t>
      </w:r>
      <w:r>
        <w:rPr>
          <w:rFonts w:hint="eastAsia" w:ascii="仿宋_GB2312" w:hAnsi="仿宋" w:eastAsia="仿宋_GB2312" w:cs="仿宋"/>
          <w:sz w:val="32"/>
          <w:szCs w:val="32"/>
          <w:lang w:val="en-US" w:eastAsia="zh-CN"/>
        </w:rPr>
        <w:t>被申请人对举报的调查处理符合法律规定。</w:t>
      </w:r>
    </w:p>
    <w:p w14:paraId="0B9F8DCA">
      <w:pPr>
        <w:spacing w:after="0" w:line="576" w:lineRule="exact"/>
        <w:ind w:firstLine="640" w:firstLineChars="200"/>
        <w:jc w:val="both"/>
        <w:rPr>
          <w:rFonts w:hint="default" w:ascii="仿宋_GB2312" w:hAnsi="仿宋" w:eastAsia="仿宋_GB2312" w:cs="仿宋"/>
          <w:sz w:val="32"/>
          <w:szCs w:val="32"/>
          <w:lang w:val="en-US"/>
        </w:rPr>
      </w:pPr>
      <w:r>
        <w:rPr>
          <w:rFonts w:hint="eastAsia" w:ascii="仿宋_GB2312" w:hAnsi="仿宋" w:eastAsia="仿宋_GB2312" w:cs="仿宋"/>
          <w:sz w:val="32"/>
          <w:szCs w:val="32"/>
        </w:rPr>
        <w:t>二、</w:t>
      </w:r>
      <w:r>
        <w:rPr>
          <w:rFonts w:hint="eastAsia" w:ascii="仿宋_GB2312" w:hAnsi="仿宋" w:eastAsia="仿宋_GB2312" w:cs="仿宋"/>
          <w:sz w:val="32"/>
          <w:szCs w:val="32"/>
          <w:lang w:val="en-US" w:eastAsia="zh-CN"/>
        </w:rPr>
        <w:t>被申请人不具有行政复议主体资格。</w:t>
      </w:r>
    </w:p>
    <w:p w14:paraId="0299EC75">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经审理查明：</w:t>
      </w:r>
      <w:r>
        <w:rPr>
          <w:rFonts w:hint="eastAsia" w:ascii="仿宋_GB2312" w:hAnsi="仿宋" w:eastAsia="仿宋_GB2312" w:cs="仿宋"/>
          <w:sz w:val="32"/>
          <w:szCs w:val="32"/>
          <w:lang w:val="en-US" w:eastAsia="zh-CN"/>
        </w:rPr>
        <w:t>2024年11月6日，申请人在网络平台购买了案涉商家销售的五味子，认为存在质量问题，于2024年11月14日，通过全国12315平台进行举报。被申请人收到举报线索后，进行调查核实，未发现案涉商家存在违法行为。2024年12月4日，被申请人对举报作出不予立案的处理决定，并与当日通过全国12315平台告知申请人。2025年3月3日，申请人不服该处理决定，向本机关提出行政复议申请。</w:t>
      </w:r>
    </w:p>
    <w:p w14:paraId="6A5EEFBC">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本机关认为：</w:t>
      </w:r>
    </w:p>
    <w:p w14:paraId="5F3BBA9D">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一、被申请人是负责核查处理本案举报事项的适格主体。</w:t>
      </w:r>
    </w:p>
    <w:p w14:paraId="1172FBCB">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举报</w:t>
      </w:r>
      <w:r>
        <w:rPr>
          <w:rFonts w:hint="eastAsia" w:ascii="仿宋_GB2312" w:hAnsi="仿宋" w:eastAsia="仿宋_GB2312" w:cs="仿宋"/>
          <w:sz w:val="32"/>
          <w:szCs w:val="32"/>
          <w:lang w:val="en-US" w:eastAsia="zh-CN"/>
        </w:rPr>
        <w:t>事项</w:t>
      </w:r>
      <w:r>
        <w:rPr>
          <w:rFonts w:hint="eastAsia" w:ascii="仿宋_GB2312" w:hAnsi="仿宋" w:eastAsia="仿宋_GB2312" w:cs="仿宋"/>
          <w:sz w:val="32"/>
          <w:szCs w:val="32"/>
        </w:rPr>
        <w:t>具有处理职权。</w:t>
      </w:r>
    </w:p>
    <w:p w14:paraId="278ECB77">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二、被申请人对举报</w:t>
      </w:r>
      <w:r>
        <w:rPr>
          <w:rFonts w:hint="eastAsia" w:ascii="仿宋_GB2312" w:hAnsi="仿宋" w:eastAsia="仿宋_GB2312" w:cs="仿宋"/>
          <w:sz w:val="32"/>
          <w:szCs w:val="32"/>
          <w:lang w:val="en-US" w:eastAsia="zh-CN"/>
        </w:rPr>
        <w:t>事项</w:t>
      </w:r>
      <w:r>
        <w:rPr>
          <w:rFonts w:hint="eastAsia" w:ascii="仿宋_GB2312" w:hAnsi="仿宋" w:eastAsia="仿宋_GB2312" w:cs="仿宋"/>
          <w:sz w:val="32"/>
          <w:szCs w:val="32"/>
        </w:rPr>
        <w:t>的处理程序合法，履行了法定职责。</w:t>
      </w:r>
    </w:p>
    <w:p w14:paraId="22563D8D">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被申请人</w:t>
      </w:r>
      <w:r>
        <w:rPr>
          <w:rFonts w:hint="eastAsia" w:ascii="仿宋_GB2312" w:hAnsi="仿宋" w:eastAsia="仿宋_GB2312" w:cs="仿宋"/>
          <w:sz w:val="32"/>
          <w:szCs w:val="32"/>
          <w:lang w:val="en-US" w:eastAsia="zh-CN"/>
        </w:rPr>
        <w:t>对举报进行了受理</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在调查后作出不予立案处理决定，并在法定期限内将不予立案情况告知申请人，</w:t>
      </w:r>
      <w:r>
        <w:rPr>
          <w:rFonts w:hint="eastAsia" w:ascii="仿宋_GB2312" w:hAnsi="仿宋" w:eastAsia="仿宋_GB2312" w:cs="仿宋"/>
          <w:sz w:val="32"/>
          <w:szCs w:val="32"/>
        </w:rPr>
        <w:t>因此被申请人履行了法定职责，</w:t>
      </w:r>
      <w:r>
        <w:rPr>
          <w:rFonts w:hint="eastAsia" w:ascii="仿宋_GB2312" w:hAnsi="仿宋" w:eastAsia="仿宋_GB2312" w:cs="仿宋"/>
          <w:sz w:val="32"/>
          <w:szCs w:val="32"/>
          <w:lang w:val="en-US" w:eastAsia="zh-CN"/>
        </w:rPr>
        <w:t xml:space="preserve">程序合法。   </w:t>
      </w:r>
    </w:p>
    <w:p w14:paraId="0D105698">
      <w:p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三、被申请人对举报作出的处理决定事实清楚、适用法律依据正确。</w:t>
      </w:r>
    </w:p>
    <w:p w14:paraId="28E5E840">
      <w:p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根据《市场监督管理行政处罚程序规定》第二十条第一款规定：“经核查，有下列情形之一的，可以不予立案：（四）依法可以不予立案的其他情形。”具体本案，被申请人在调查过程中，对相同规格包装五味子进行称重，质量与标注相同，案涉商家提供了具有CMA认证的五味子检验检测报告,被申请人未发现案涉商家存在违法行为，据此作出不予立案决定，并及时告知申请人，并无不当。</w:t>
      </w:r>
    </w:p>
    <w:p w14:paraId="70CE1D8E">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综上，根据《中华人民共和国行政复议法》第六十八条</w:t>
      </w:r>
      <w:r>
        <w:rPr>
          <w:rFonts w:hint="eastAsia" w:ascii="仿宋_GB2312" w:hAnsi="仿宋" w:eastAsia="仿宋_GB2312" w:cs="仿宋"/>
          <w:sz w:val="32"/>
          <w:szCs w:val="32"/>
          <w:lang w:val="en-US" w:eastAsia="zh-CN"/>
        </w:rPr>
        <w:t>之规定，本机关决定如下：</w:t>
      </w:r>
    </w:p>
    <w:p w14:paraId="04D55CA3">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维持被申请人对投诉举报作出的处理决定。</w:t>
      </w:r>
    </w:p>
    <w:p w14:paraId="3A697501">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申请人如不服本行政复议决定，可在接到本决定书之日起15日内，向人民法院提起行政诉讼。</w:t>
      </w:r>
    </w:p>
    <w:p w14:paraId="53FC44B5">
      <w:pPr>
        <w:spacing w:after="0" w:line="576" w:lineRule="exact"/>
        <w:ind w:firstLine="640" w:firstLineChars="200"/>
        <w:jc w:val="both"/>
        <w:rPr>
          <w:rFonts w:hint="eastAsia" w:ascii="仿宋_GB2312" w:hAnsi="仿宋" w:eastAsia="仿宋_GB2312" w:cs="仿宋"/>
          <w:sz w:val="32"/>
          <w:szCs w:val="32"/>
          <w:lang w:val="en-US" w:eastAsia="zh-CN"/>
        </w:rPr>
      </w:pPr>
    </w:p>
    <w:p w14:paraId="4376E445">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通化县人民政府</w:t>
      </w:r>
    </w:p>
    <w:p w14:paraId="22DDBC6E">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二〇二</w:t>
      </w:r>
      <w:r>
        <w:rPr>
          <w:rFonts w:hint="eastAsia" w:eastAsia="仿宋_GB2312" w:cs="Times New Roman"/>
          <w:b w:val="0"/>
          <w:bCs w:val="0"/>
          <w:color w:val="000000"/>
          <w:sz w:val="32"/>
          <w:szCs w:val="32"/>
          <w:lang w:val="en-US" w:eastAsia="zh-CN"/>
        </w:rPr>
        <w:t>五</w:t>
      </w:r>
      <w:r>
        <w:rPr>
          <w:rFonts w:hint="eastAsia" w:ascii="Times New Roman" w:hAnsi="Times New Roman" w:eastAsia="仿宋_GB2312" w:cs="Times New Roman"/>
          <w:b w:val="0"/>
          <w:bCs w:val="0"/>
          <w:color w:val="000000"/>
          <w:sz w:val="32"/>
          <w:szCs w:val="32"/>
          <w:lang w:val="en-US" w:eastAsia="zh-CN"/>
        </w:rPr>
        <w:t>年</w:t>
      </w:r>
      <w:r>
        <w:rPr>
          <w:rFonts w:hint="eastAsia" w:eastAsia="仿宋_GB2312" w:cs="Times New Roman"/>
          <w:b w:val="0"/>
          <w:bCs w:val="0"/>
          <w:color w:val="000000"/>
          <w:sz w:val="32"/>
          <w:szCs w:val="32"/>
          <w:lang w:val="en-US" w:eastAsia="zh-CN"/>
        </w:rPr>
        <w:t>五</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三十</w:t>
      </w:r>
      <w:r>
        <w:rPr>
          <w:rFonts w:hint="eastAsia" w:ascii="Times New Roman" w:hAnsi="Times New Roman" w:eastAsia="仿宋_GB2312" w:cs="Times New Roman"/>
          <w:b w:val="0"/>
          <w:bCs w:val="0"/>
          <w:color w:val="000000"/>
          <w:sz w:val="32"/>
          <w:szCs w:val="32"/>
          <w:lang w:val="en-US" w:eastAsia="zh-CN"/>
        </w:rPr>
        <w:t>日</w:t>
      </w:r>
    </w:p>
    <w:p w14:paraId="0DD120A9">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4BE40E0"/>
    <w:rsid w:val="05013ED4"/>
    <w:rsid w:val="057E4E8F"/>
    <w:rsid w:val="087C4131"/>
    <w:rsid w:val="10960B84"/>
    <w:rsid w:val="11356B95"/>
    <w:rsid w:val="13DC42B1"/>
    <w:rsid w:val="148A41EB"/>
    <w:rsid w:val="19856C4C"/>
    <w:rsid w:val="1C3E1D3E"/>
    <w:rsid w:val="246F477F"/>
    <w:rsid w:val="25B0733F"/>
    <w:rsid w:val="280834D9"/>
    <w:rsid w:val="30225346"/>
    <w:rsid w:val="316E64EE"/>
    <w:rsid w:val="326D31C6"/>
    <w:rsid w:val="337A02B8"/>
    <w:rsid w:val="35ED10D9"/>
    <w:rsid w:val="362905E6"/>
    <w:rsid w:val="37261FA2"/>
    <w:rsid w:val="372919DB"/>
    <w:rsid w:val="382877F5"/>
    <w:rsid w:val="3A525087"/>
    <w:rsid w:val="3AA71671"/>
    <w:rsid w:val="42A617C8"/>
    <w:rsid w:val="45395141"/>
    <w:rsid w:val="4A4D73EF"/>
    <w:rsid w:val="4BB1158A"/>
    <w:rsid w:val="4CDD5875"/>
    <w:rsid w:val="52097F74"/>
    <w:rsid w:val="528B0930"/>
    <w:rsid w:val="52E64215"/>
    <w:rsid w:val="53C52BAA"/>
    <w:rsid w:val="5472265E"/>
    <w:rsid w:val="56B33D02"/>
    <w:rsid w:val="58C53C0D"/>
    <w:rsid w:val="591E2AC0"/>
    <w:rsid w:val="598F29D8"/>
    <w:rsid w:val="5C0F6FB7"/>
    <w:rsid w:val="5CC60AEB"/>
    <w:rsid w:val="5D0B148F"/>
    <w:rsid w:val="5DA853E8"/>
    <w:rsid w:val="5DEC7A21"/>
    <w:rsid w:val="5F6B2D1C"/>
    <w:rsid w:val="5F930B54"/>
    <w:rsid w:val="60281F46"/>
    <w:rsid w:val="609A39B4"/>
    <w:rsid w:val="611B233B"/>
    <w:rsid w:val="63040BF8"/>
    <w:rsid w:val="63FA7FB6"/>
    <w:rsid w:val="64093C6C"/>
    <w:rsid w:val="65622202"/>
    <w:rsid w:val="6888136E"/>
    <w:rsid w:val="69510DCD"/>
    <w:rsid w:val="6C5A2D68"/>
    <w:rsid w:val="771F03E4"/>
    <w:rsid w:val="775D5288"/>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customStyle="1" w:styleId="10">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1308</Words>
  <Characters>1366</Characters>
  <Lines>0</Lines>
  <Paragraphs>0</Paragraphs>
  <TotalTime>307</TotalTime>
  <ScaleCrop>false</ScaleCrop>
  <LinksUpToDate>false</LinksUpToDate>
  <CharactersWithSpaces>1441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2025-06-13T09:22:21Z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