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70</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84B92E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ascii="仿宋_GB2312" w:hAnsi="仿宋" w:eastAsia="仿宋_GB2312" w:cs="仿宋"/>
          <w:sz w:val="32"/>
          <w:szCs w:val="32"/>
          <w:lang w:val="en-US" w:eastAsia="zh-CN"/>
        </w:rPr>
        <w:t>张某某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申请人不服通化县市场监督管理局对投诉举报作出的处理告知书，向通化县人民政府申请行政复议，本机关依法于2025年8月15日予以受理，本案现已审理终结。</w:t>
      </w:r>
    </w:p>
    <w:p w14:paraId="606FC864">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确认被申请人未依法履职的行政行为违法。</w:t>
      </w:r>
    </w:p>
    <w:p w14:paraId="549A67B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被申请人的行政行为严重违反了相关法律法规，存在懒政、不作为、不履职行为。主要理由是：</w:t>
      </w:r>
    </w:p>
    <w:p w14:paraId="1B134E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一、被申请人在投诉调解过程中，未征求举报人意见。</w:t>
      </w:r>
    </w:p>
    <w:p w14:paraId="7B8E0F7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 xml:space="preserve">    二、被申请人未告知举报奖励情况。</w:t>
      </w:r>
    </w:p>
    <w:p w14:paraId="5060BA19">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被申请人对投诉举报事项的处理事实清楚、证据确凿、处理适当、程序合法。主要理由是：</w:t>
      </w:r>
    </w:p>
    <w:p w14:paraId="6DAF56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一、被申请人对投诉举报案件依法受理并立案查处。</w:t>
      </w:r>
    </w:p>
    <w:p w14:paraId="070856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二、被申请人将处理结果书面告知申请人。</w:t>
      </w:r>
    </w:p>
    <w:p w14:paraId="5FDF1E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三、因案涉商家不存在违法行为，因此无法给予申请人奖励。</w:t>
      </w:r>
    </w:p>
    <w:p w14:paraId="532112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四、在调解过程中，申请人向商家索要赔偿，商家不予认可，双方未达成调解合意，被申请人作出终止调解决定并无不当。</w:t>
      </w:r>
    </w:p>
    <w:p w14:paraId="6665BC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2025年6月25日，被申请人收到申请人邮寄信件，投诉举报案涉商家销售的酸梅汤外包装未标注执行标准信息。被申请人受理后，对投诉进行了调解，因申请人索要赔偿，商家不予认可，双方未达成调解合意，被申请人作出终止调解决定。经调查，被申请人认为案涉商家出售的酸梅汤属于现制现售食品，无需标注执行标准信息，因未发现案涉商家存在违法行为，不符合《市场监督管理行政处罚程序规定》第十九条规定的立案条件，被申请人于2025年7月18日，作出不予立案处理决定和投诉举报处理告知书，并与2025年7月22日，向申请人进行邮寄送达。</w:t>
      </w:r>
      <w:r>
        <w:rPr>
          <w:rFonts w:hint="eastAsia" w:ascii="仿宋_GB2312" w:hAnsi="仿宋" w:eastAsia="仿宋_GB2312" w:cs="仿宋"/>
          <w:sz w:val="32"/>
          <w:szCs w:val="32"/>
          <w:lang w:val="en-US" w:eastAsia="zh-CN"/>
        </w:rPr>
        <w:t>2025年8月15日，申请人不服该处理决定，向本机关申请行政复议。</w:t>
      </w:r>
    </w:p>
    <w:p w14:paraId="61C387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投诉举报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被申请人收到投诉举报信件后，对投诉进行了受理与调解， 调查核实后对举报作出不予立案处理决定，在法定期限内向申请人进行了告知，被申请人对投诉举报事项的处理符合程序规定，履行了相关法定职责。</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本案中，被申请人经现场调查，认定案涉商家销售的酸梅汤属于现制现售食品，外包装标注了产品名称、营养成分表、配料表、生产日期、保质期、生产厂家等信息，申请人认为该食品标签未标注</w:t>
      </w:r>
      <w:r>
        <w:rPr>
          <w:rFonts w:hint="eastAsia" w:ascii="仿宋_GB2312" w:hAnsi="仿宋" w:eastAsia="仿宋_GB2312" w:cs="仿宋"/>
          <w:b w:val="0"/>
          <w:bCs w:val="0"/>
          <w:kern w:val="2"/>
          <w:sz w:val="32"/>
          <w:szCs w:val="32"/>
          <w:lang w:val="en-US" w:eastAsia="zh-CN" w:bidi="ar-SA"/>
        </w:rPr>
        <w:t>执行标准信息</w:t>
      </w:r>
      <w:r>
        <w:rPr>
          <w:rFonts w:hint="eastAsia" w:ascii="仿宋_GB2312" w:hAnsi="仿宋" w:eastAsia="仿宋_GB2312" w:cs="仿宋"/>
          <w:sz w:val="32"/>
          <w:szCs w:val="32"/>
          <w:lang w:val="en-US" w:eastAsia="zh-CN"/>
        </w:rPr>
        <w:t>，但我国法律法规针对现制现售食品标签标识，未作出具体要求，因此被申请人认为案涉商家不存在违法行为，不符合《市场监督管理行政处罚程序规定》第十九条规定的立案条件，作出不予立案处理决定及投诉举报告知书并无不当。</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对投诉举报作出的处理告知书</w:t>
      </w:r>
      <w:r>
        <w:rPr>
          <w:rFonts w:hint="eastAsia" w:ascii="仿宋_GB2312" w:hAnsi="仿宋" w:eastAsia="仿宋_GB2312" w:cs="仿宋"/>
          <w:sz w:val="32"/>
          <w:szCs w:val="32"/>
        </w:rPr>
        <w:t>。</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08EDFF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p>
    <w:p w14:paraId="2C7B79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BC2320"/>
    <w:rsid w:val="04BE40E0"/>
    <w:rsid w:val="04BE5B43"/>
    <w:rsid w:val="057E4E8F"/>
    <w:rsid w:val="06BA48D6"/>
    <w:rsid w:val="076918F8"/>
    <w:rsid w:val="078908E9"/>
    <w:rsid w:val="087C4131"/>
    <w:rsid w:val="09DB0EDB"/>
    <w:rsid w:val="0CD05820"/>
    <w:rsid w:val="0D006A68"/>
    <w:rsid w:val="0D802538"/>
    <w:rsid w:val="0E005F06"/>
    <w:rsid w:val="10960B84"/>
    <w:rsid w:val="13DC42B1"/>
    <w:rsid w:val="14222490"/>
    <w:rsid w:val="14237327"/>
    <w:rsid w:val="148A41EB"/>
    <w:rsid w:val="14E63403"/>
    <w:rsid w:val="15A50451"/>
    <w:rsid w:val="17ED4752"/>
    <w:rsid w:val="18BC0321"/>
    <w:rsid w:val="19856C4C"/>
    <w:rsid w:val="1AB84DFF"/>
    <w:rsid w:val="1B966EEF"/>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C565BBC"/>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AD17AFF"/>
    <w:rsid w:val="3EF262A4"/>
    <w:rsid w:val="3F3E5EA9"/>
    <w:rsid w:val="413411AB"/>
    <w:rsid w:val="42A617C8"/>
    <w:rsid w:val="459C7131"/>
    <w:rsid w:val="48502B83"/>
    <w:rsid w:val="49FA4F7E"/>
    <w:rsid w:val="4A4D73EF"/>
    <w:rsid w:val="4A7C4B08"/>
    <w:rsid w:val="4B5E0F27"/>
    <w:rsid w:val="4CDD5875"/>
    <w:rsid w:val="4CE05E98"/>
    <w:rsid w:val="4D2E492A"/>
    <w:rsid w:val="4D8B094F"/>
    <w:rsid w:val="4E6B6B36"/>
    <w:rsid w:val="4FD21DB7"/>
    <w:rsid w:val="50A1152C"/>
    <w:rsid w:val="50B74693"/>
    <w:rsid w:val="50F5042E"/>
    <w:rsid w:val="510C31D4"/>
    <w:rsid w:val="519678B7"/>
    <w:rsid w:val="51D07D5D"/>
    <w:rsid w:val="528B0930"/>
    <w:rsid w:val="52E64215"/>
    <w:rsid w:val="5560063A"/>
    <w:rsid w:val="56036DFD"/>
    <w:rsid w:val="56475E57"/>
    <w:rsid w:val="56B33D02"/>
    <w:rsid w:val="585264A2"/>
    <w:rsid w:val="58C53C0D"/>
    <w:rsid w:val="591E2AC0"/>
    <w:rsid w:val="598F29D8"/>
    <w:rsid w:val="599110DD"/>
    <w:rsid w:val="599F662C"/>
    <w:rsid w:val="5A955D23"/>
    <w:rsid w:val="5B621DCA"/>
    <w:rsid w:val="5C0F1C82"/>
    <w:rsid w:val="5C0F6FB7"/>
    <w:rsid w:val="5CC60AEB"/>
    <w:rsid w:val="5DA853E8"/>
    <w:rsid w:val="5DEC7A21"/>
    <w:rsid w:val="5ED04B87"/>
    <w:rsid w:val="5EE0300C"/>
    <w:rsid w:val="5F6B2D1C"/>
    <w:rsid w:val="5F930B54"/>
    <w:rsid w:val="61160F9E"/>
    <w:rsid w:val="626218D8"/>
    <w:rsid w:val="63040BF8"/>
    <w:rsid w:val="64093C6C"/>
    <w:rsid w:val="642815EB"/>
    <w:rsid w:val="645B5511"/>
    <w:rsid w:val="65622202"/>
    <w:rsid w:val="65EB1BB5"/>
    <w:rsid w:val="663A61ED"/>
    <w:rsid w:val="667C5CEA"/>
    <w:rsid w:val="66A84B7E"/>
    <w:rsid w:val="69510DCD"/>
    <w:rsid w:val="6A6E6107"/>
    <w:rsid w:val="6AAA35A7"/>
    <w:rsid w:val="6C5A2D68"/>
    <w:rsid w:val="6E243A09"/>
    <w:rsid w:val="6E8F10AB"/>
    <w:rsid w:val="6F18731D"/>
    <w:rsid w:val="6FA236D9"/>
    <w:rsid w:val="6FB41C3A"/>
    <w:rsid w:val="707C3A1E"/>
    <w:rsid w:val="72231FFC"/>
    <w:rsid w:val="73E82D5A"/>
    <w:rsid w:val="758F28DA"/>
    <w:rsid w:val="75AB6E3F"/>
    <w:rsid w:val="75BA494A"/>
    <w:rsid w:val="76DE3859"/>
    <w:rsid w:val="775D5288"/>
    <w:rsid w:val="777E6CB9"/>
    <w:rsid w:val="78ED326F"/>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1548</Words>
  <Characters>1596</Characters>
  <Lines>14</Lines>
  <Paragraphs>4</Paragraphs>
  <TotalTime>29</TotalTime>
  <ScaleCrop>false</ScaleCrop>
  <LinksUpToDate>false</LinksUpToDate>
  <CharactersWithSpaces>1672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2026-03-05T02:10:15Z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