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2831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default" w:ascii="Times New Roman" w:hAnsi="Times New Roman"/>
          <w:b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-364490</wp:posOffset>
                </wp:positionV>
                <wp:extent cx="1253490" cy="407035"/>
                <wp:effectExtent l="5080" t="4445" r="17780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C2E89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pt;margin-top:-28.7pt;height:32.05pt;width:98.7pt;z-index:251659264;mso-width-relative:page;mso-height-relative:page;" fillcolor="#FFFFFF" filled="t" stroked="t" coordsize="21600,21600" o:gfxdata="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oVmIDWAAAABwEAAA8AAAAAAAAAAQAgAAAAIgAAAGRy&#10;cy9kb3ducmV2LnhtbFBLAQIUABQAAAAIAIdO4kD/ik9HBwIAADg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CC2E89A"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b/>
          <w:sz w:val="80"/>
          <w:szCs w:val="80"/>
          <w:lang w:val="en-US" w:eastAsia="zh-CN"/>
        </w:rPr>
        <w:t>通</w:t>
      </w:r>
      <w:r>
        <w:rPr>
          <w:rFonts w:hint="eastAsia"/>
          <w:b/>
          <w:sz w:val="80"/>
          <w:szCs w:val="8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80"/>
          <w:szCs w:val="80"/>
          <w:lang w:val="en-US" w:eastAsia="zh-CN"/>
        </w:rPr>
        <w:t>化</w:t>
      </w:r>
      <w:r>
        <w:rPr>
          <w:rFonts w:hint="eastAsia"/>
          <w:b/>
          <w:sz w:val="80"/>
          <w:szCs w:val="80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人 民 政 府</w:t>
      </w:r>
    </w:p>
    <w:p w14:paraId="5F07959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3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1C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/>
          <w:sz w:val="13"/>
          <w:szCs w:val="13"/>
        </w:rPr>
      </w:pPr>
    </w:p>
    <w:p w14:paraId="42155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不予受理行政复议申请决定书</w:t>
      </w:r>
    </w:p>
    <w:p w14:paraId="0A574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eastAsia="FangSong_GB2312"/>
          <w:sz w:val="32"/>
          <w:szCs w:val="32"/>
          <w:lang w:val="en-US" w:eastAsia="zh-CN"/>
        </w:rPr>
      </w:pPr>
    </w:p>
    <w:p w14:paraId="0ACE46F5">
      <w:pPr>
        <w:spacing w:line="576" w:lineRule="exact"/>
        <w:ind w:firstLine="4800" w:firstLineChars="15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通县政复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2025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49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号</w:t>
      </w:r>
    </w:p>
    <w:p w14:paraId="0BECB168">
      <w:pPr>
        <w:spacing w:line="576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申 请 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吕某某</w:t>
      </w:r>
    </w:p>
    <w:p w14:paraId="66089CAD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被申请人：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通化县市场监督管理局</w:t>
      </w:r>
    </w:p>
    <w:p w14:paraId="06A0CDA4">
      <w:p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请求责令通化县市场监督管理局依法对投诉举报作出处理，于2025年7月4日向本机关申请行政复议。经审查，2024年7月20日，申请人向被申请人邮寄投诉举报信件，查询显示被申请人已于2024年7月24日签收。申请人主张被申请人至今未对投诉举报作出处理。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根据《市场监督管理投诉举报处理暂行办法》第十四条、第三十一条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第二款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、《市场监督管理行政处罚程序规定》第十八条，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被申请人对投诉举报的受理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最长期限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为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35个工作日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。根据《中华人民共和国行政复议法实施条例》第十六条第一款第（一）项，申请人应在被申请人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履行期限届满后60天申请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行政复议。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行政复议申请书上记载的日期，其于202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28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日向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本机关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申请行政复议，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本机关于2025年7月4日收到该申请，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已明显超出申请期限，不符合《中华人民共和国行政复议法》第三十条第一款第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）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项规定的在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“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法定申请期限内提出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”</w:t>
      </w:r>
      <w:r>
        <w:rPr>
          <w:rFonts w:hint="default" w:ascii="仿宋_GB2312" w:hAnsi="仿宋" w:eastAsia="仿宋_GB2312" w:cs="仿宋"/>
          <w:sz w:val="32"/>
          <w:szCs w:val="32"/>
          <w:lang w:val="en-US" w:eastAsia="zh-CN"/>
        </w:rPr>
        <w:t>的要求，故其行政复议申请不符合行政复议受理条件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，本机关决定不予受理。</w:t>
      </w:r>
    </w:p>
    <w:p w14:paraId="7352DFF9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申请人如对本决定不服，可以自接到本决定书之日起</w:t>
      </w:r>
      <w:r>
        <w:rPr>
          <w:rFonts w:hint="eastAsia" w:ascii="仿宋_GB2312" w:hAnsi="仿宋" w:eastAsia="仿宋_GB2312" w:cs="仿宋"/>
          <w:sz w:val="32"/>
          <w:szCs w:val="32"/>
          <w:lang w:val="en" w:eastAsia="zh-CN"/>
        </w:rPr>
        <w:t>15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日内，向人民法院提起行政诉讼。</w:t>
      </w:r>
    </w:p>
    <w:p w14:paraId="1170E64F">
      <w:pPr>
        <w:spacing w:line="576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 w14:paraId="4682584A">
      <w:pPr>
        <w:spacing w:line="576" w:lineRule="exact"/>
        <w:ind w:firstLine="5440" w:firstLineChars="17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通化县人民政府</w:t>
      </w:r>
    </w:p>
    <w:p w14:paraId="2D7A32C0">
      <w:pPr>
        <w:spacing w:line="576" w:lineRule="exact"/>
        <w:ind w:firstLine="5120" w:firstLineChars="16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二〇二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mIwMWRkOGYxZTZhMTI2OWVmYzZlODY1OTM0YzEifQ=="/>
  </w:docVars>
  <w:rsids>
    <w:rsidRoot w:val="6D633420"/>
    <w:rsid w:val="03D2170A"/>
    <w:rsid w:val="04E6784A"/>
    <w:rsid w:val="0DCD36EE"/>
    <w:rsid w:val="1ECE1EC3"/>
    <w:rsid w:val="2D2A542B"/>
    <w:rsid w:val="3BC108EE"/>
    <w:rsid w:val="40FE7094"/>
    <w:rsid w:val="57392849"/>
    <w:rsid w:val="68A24043"/>
    <w:rsid w:val="6D6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611</Characters>
  <Lines>0</Lines>
  <Paragraphs>0</Paragraphs>
  <TotalTime>22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2024-01-16T03:00:00Z</dcterms:created>
  <dc:creator>miss</dc:creator>
  <cp:lastModifiedBy>miss</cp:lastModifiedBy>
  <dcterms:modified xsi:type="dcterms:W3CDTF">2026-03-05T01:55:09Z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602C81BD4A4343F5AE5B1EFD2B87AC7C_11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