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4F48E0">
      <w:pPr>
        <w:jc w:val="center"/>
        <w:rPr>
          <w:b/>
          <w:sz w:val="80"/>
          <w:szCs w:val="80"/>
        </w:rPr>
      </w:pPr>
      <w:r>
        <w:rPr>
          <w:rFonts w:hint="default"/>
          <w:b/>
          <w:sz w:val="80"/>
          <w:szCs w:val="80"/>
          <w:lang w:val="en-US"/>
        </w:rPr>
        <mc:AlternateContent>
          <mc:Choice Requires="wps">
            <w:drawing>
              <wp:anchor distT="0" distB="0" distL="114300" distR="114300" simplePos="0" relativeHeight="251660288" behindDoc="0" locked="0" layoutInCell="1" allowOverlap="1">
                <wp:simplePos x="0" y="0"/>
                <wp:positionH relativeFrom="column">
                  <wp:posOffset>73660</wp:posOffset>
                </wp:positionH>
                <wp:positionV relativeFrom="paragraph">
                  <wp:posOffset>-359410</wp:posOffset>
                </wp:positionV>
                <wp:extent cx="1253490" cy="407035"/>
                <wp:effectExtent l="5080" t="4445" r="17780" b="7620"/>
                <wp:wrapNone/>
                <wp:docPr id="17" name="文本框 17"/>
                <wp:cNvGraphicFramePr/>
                <a:graphic xmlns:a="http://schemas.openxmlformats.org/drawingml/2006/main">
                  <a:graphicData uri="http://schemas.microsoft.com/office/word/2010/wordprocessingShape">
                    <wps:wsp>
                      <wps:cNvSpPr txBox="1"/>
                      <wps:spPr>
                        <a:xfrm>
                          <a:off x="0" y="0"/>
                          <a:ext cx="1253490" cy="407035"/>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5F18FF9C">
                            <w:pPr>
                              <w:rPr>
                                <w:rFonts w:hint="default"/>
                                <w:lang w:val="en-US"/>
                              </w:rPr>
                            </w:pPr>
                          </w:p>
                        </w:txbxContent>
                      </wps:txbx>
                      <wps:bodyPr upright="1"/>
                    </wps:wsp>
                  </a:graphicData>
                </a:graphic>
              </wp:anchor>
            </w:drawing>
          </mc:Choice>
          <mc:Fallback>
            <w:pict>
              <v:shape id="_x0000_s1026" o:spid="_x0000_s1026" o:spt="202" type="#_x0000_t202" style="position:absolute;left:0pt;margin-left:5.8pt;margin-top:-28.3pt;height:32.05pt;width:98.7pt;z-index:251660288;mso-width-relative:page;mso-height-relative:page;" fillcolor="#FFFFFF" filled="t" stroked="t" coordsize="21600,21600" o:gfxdata="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LM12TWAAAACAEAAA8AAAAAAAAAAQAgAAAAIgAAAGRy&#10;cy9kb3ducmV2LnhtbFBLAQIUABQAAAAIAIdO4kCjkIkuBwIAADgEAAAOAAAAAAAAAAEAIAAAACUB&#10;AABkcnMvZTJvRG9jLnhtbFBLBQYAAAAABgAGAFkBAACeBQAAAAA=&#10;">
                <v:fill on="t" focussize="0,0"/>
                <v:stroke color="#FFFFFF" joinstyle="miter"/>
                <v:imagedata o:title=""/>
                <o:lock v:ext="edit" aspectratio="f"/>
                <v:textbox>
                  <w:txbxContent>
                    <w:p w14:paraId="5F18FF9C">
                      <w:pPr>
                        <w:rPr>
                          <w:rFonts w:hint="default"/>
                          <w:lang w:val="en-US"/>
                        </w:rPr>
                      </w:pPr>
                    </w:p>
                  </w:txbxContent>
                </v:textbox>
              </v:shape>
            </w:pict>
          </mc:Fallback>
        </mc:AlternateContent>
      </w:r>
      <w:r>
        <w:rPr>
          <w:rFonts w:hint="eastAsia"/>
          <w:b/>
          <w:sz w:val="80"/>
          <w:szCs w:val="80"/>
          <w:lang w:val="en-US" w:eastAsia="zh-CN"/>
        </w:rPr>
        <w:t>通 化 县</w:t>
      </w:r>
      <w:r>
        <w:rPr>
          <w:b/>
          <w:sz w:val="80"/>
          <w:szCs w:val="80"/>
        </w:rPr>
        <w:t xml:space="preserve"> 人 民 政 府</w:t>
      </w:r>
    </w:p>
    <w:p w14:paraId="7190805F">
      <w:pPr>
        <w:jc w:val="center"/>
      </w:pPr>
      <w:r>
        <w:pict>
          <v:rect id="_x0000_i1025" o:spt="1" style="height:1.5pt;width:420pt;" fillcolor="#000000" filled="t" stroked="f" coordsize="21600,21600" o:hr="t" o:hrstd="t" o:hrnoshade="t" o:hralign="center">
            <v:path/>
            <v:fill on="t" focussize="0,0"/>
            <v:stroke on="f"/>
            <v:imagedata o:title=""/>
            <o:lock v:ext="edit"/>
            <w10:wrap type="none"/>
            <w10:anchorlock/>
          </v:rect>
        </w:pict>
      </w:r>
    </w:p>
    <w:p w14:paraId="3F09C2FE">
      <w:pPr>
        <w:spacing w:line="300" w:lineRule="exact"/>
        <w:jc w:val="center"/>
        <w:rPr>
          <w:rFonts w:hint="eastAsia" w:ascii="方正小标宋简体" w:eastAsia="方正小标宋简体"/>
          <w:sz w:val="44"/>
          <w:szCs w:val="44"/>
        </w:rPr>
      </w:pPr>
    </w:p>
    <w:p w14:paraId="227B12AC">
      <w:pPr>
        <w:spacing w:after="0" w:line="576" w:lineRule="exact"/>
        <w:jc w:val="center"/>
        <w:rPr>
          <w:rFonts w:hint="default" w:ascii="Times New Roman" w:hAnsi="Times New Roman" w:eastAsia="仿宋_GB2312" w:cs="Times New Roman"/>
          <w:b w:val="0"/>
          <w:bCs w:val="0"/>
          <w:color w:val="000000"/>
          <w:sz w:val="32"/>
          <w:szCs w:val="32"/>
          <w:lang w:val="en-US" w:eastAsia="zh-CN"/>
        </w:rPr>
      </w:pPr>
      <w:r>
        <w:rPr>
          <w:rFonts w:ascii="Times New Roman" w:hAnsi="Times New Roman" w:eastAsia="方正小标宋简体"/>
          <w:sz w:val="44"/>
          <w:szCs w:val="44"/>
        </w:rPr>
        <w:t>行政复议决定书</w:t>
      </w:r>
    </w:p>
    <w:p w14:paraId="637B9B17">
      <w:pPr>
        <w:spacing w:after="0" w:line="576" w:lineRule="exact"/>
        <w:ind w:firstLine="5120" w:firstLineChars="1600"/>
        <w:jc w:val="both"/>
        <w:rPr>
          <w:rFonts w:hint="eastAsia" w:ascii="Times New Roman" w:hAnsi="Times New Roman" w:eastAsia="仿宋_GB2312" w:cs="Times New Roman"/>
          <w:b w:val="0"/>
          <w:bCs w:val="0"/>
          <w:color w:val="000000"/>
          <w:sz w:val="32"/>
          <w:szCs w:val="32"/>
          <w:lang w:val="en-US" w:eastAsia="zh-CN"/>
        </w:rPr>
      </w:pPr>
    </w:p>
    <w:p w14:paraId="7DCFBB5C">
      <w:pPr>
        <w:spacing w:after="0" w:line="576" w:lineRule="exact"/>
        <w:ind w:firstLine="5120" w:firstLineChars="1600"/>
        <w:jc w:val="both"/>
        <w:rPr>
          <w:rFonts w:hint="eastAsia" w:eastAsia="仿宋_GB2312"/>
          <w:color w:val="000000"/>
          <w:sz w:val="32"/>
          <w:szCs w:val="32"/>
          <w:lang w:val="en-US" w:eastAsia="zh-CN"/>
        </w:rPr>
      </w:pPr>
      <w:r>
        <w:rPr>
          <w:rFonts w:hint="eastAsia" w:ascii="仿宋_GB2312" w:hAnsi="仿宋" w:eastAsia="仿宋_GB2312" w:cs="仿宋"/>
          <w:sz w:val="32"/>
          <w:szCs w:val="32"/>
          <w:lang w:val="en-US" w:eastAsia="zh-CN"/>
        </w:rPr>
        <w:t>通县政</w:t>
      </w:r>
      <w:r>
        <w:rPr>
          <w:rFonts w:hint="default" w:ascii="仿宋_GB2312" w:hAnsi="仿宋" w:eastAsia="仿宋_GB2312" w:cs="仿宋"/>
          <w:sz w:val="32"/>
          <w:szCs w:val="32"/>
          <w:lang w:val="en-US" w:eastAsia="zh-CN"/>
        </w:rPr>
        <w:t>复〔</w:t>
      </w:r>
      <w:r>
        <w:rPr>
          <w:rFonts w:hint="eastAsia" w:ascii="仿宋_GB2312" w:hAnsi="仿宋" w:eastAsia="仿宋_GB2312" w:cs="仿宋"/>
          <w:sz w:val="32"/>
          <w:szCs w:val="32"/>
          <w:lang w:val="en-US" w:eastAsia="zh-CN"/>
        </w:rPr>
        <w:t>2025</w:t>
      </w:r>
      <w:r>
        <w:rPr>
          <w:rFonts w:hint="default" w:ascii="仿宋_GB2312" w:hAnsi="仿宋" w:eastAsia="仿宋_GB2312" w:cs="仿宋"/>
          <w:sz w:val="32"/>
          <w:szCs w:val="32"/>
          <w:lang w:val="en-US" w:eastAsia="zh-CN"/>
        </w:rPr>
        <w:t>〕</w:t>
      </w:r>
      <w:r>
        <w:rPr>
          <w:rFonts w:hint="eastAsia" w:ascii="仿宋_GB2312" w:hAnsi="仿宋" w:eastAsia="仿宋_GB2312" w:cs="仿宋"/>
          <w:sz w:val="32"/>
          <w:szCs w:val="32"/>
          <w:lang w:val="en-US" w:eastAsia="zh-CN"/>
        </w:rPr>
        <w:t>27</w:t>
      </w:r>
      <w:r>
        <w:rPr>
          <w:rFonts w:hint="default" w:ascii="仿宋_GB2312" w:hAnsi="仿宋" w:eastAsia="仿宋_GB2312" w:cs="仿宋"/>
          <w:sz w:val="32"/>
          <w:szCs w:val="32"/>
          <w:lang w:val="en-US" w:eastAsia="zh-CN"/>
        </w:rPr>
        <w:t>号</w:t>
      </w:r>
    </w:p>
    <w:p w14:paraId="0C972F36">
      <w:pPr>
        <w:spacing w:after="0" w:line="576" w:lineRule="exact"/>
        <w:ind w:firstLine="643" w:firstLineChars="200"/>
        <w:jc w:val="both"/>
        <w:rPr>
          <w:rFonts w:hint="default" w:ascii="仿宋_GB2312" w:hAnsi="仿宋" w:eastAsia="仿宋_GB2312" w:cs="仿宋"/>
          <w:sz w:val="32"/>
          <w:szCs w:val="32"/>
          <w:lang w:val="en-US" w:eastAsia="zh-CN"/>
        </w:rPr>
      </w:pPr>
      <w:r>
        <w:rPr>
          <w:rFonts w:hint="eastAsia" w:ascii="Times New Roman" w:hAnsi="Times New Roman" w:eastAsia="仿宋_GB2312"/>
          <w:b/>
          <w:bCs/>
          <w:color w:val="000000"/>
          <w:sz w:val="32"/>
          <w:szCs w:val="32"/>
        </w:rPr>
        <w:t>申 请 人</w:t>
      </w:r>
      <w:r>
        <w:rPr>
          <w:rFonts w:hint="eastAsia" w:eastAsia="仿宋_GB2312"/>
          <w:b/>
          <w:bCs/>
          <w:color w:val="000000"/>
          <w:sz w:val="32"/>
          <w:szCs w:val="32"/>
          <w:lang w:eastAsia="zh-CN"/>
        </w:rPr>
        <w:t>：</w:t>
      </w:r>
      <w:r>
        <w:rPr>
          <w:rFonts w:hint="eastAsia" w:eastAsia="仿宋_GB2312"/>
          <w:color w:val="000000"/>
          <w:sz w:val="32"/>
          <w:szCs w:val="32"/>
          <w:lang w:val="en-US" w:eastAsia="zh-CN"/>
        </w:rPr>
        <w:t>卢某某</w:t>
      </w:r>
    </w:p>
    <w:p w14:paraId="45776DBC">
      <w:pPr>
        <w:spacing w:after="0" w:line="576" w:lineRule="exact"/>
        <w:ind w:firstLine="643" w:firstLineChars="200"/>
        <w:jc w:val="both"/>
        <w:rPr>
          <w:rFonts w:ascii="仿宋_GB2312" w:hAnsi="仿宋" w:eastAsia="仿宋_GB2312" w:cs="仿宋"/>
          <w:sz w:val="32"/>
          <w:szCs w:val="32"/>
        </w:rPr>
      </w:pPr>
      <w:r>
        <w:rPr>
          <w:rFonts w:hint="eastAsia" w:ascii="仿宋_GB2312" w:hAnsi="仿宋" w:eastAsia="仿宋_GB2312" w:cs="仿宋"/>
          <w:b/>
          <w:bCs/>
          <w:sz w:val="32"/>
          <w:szCs w:val="32"/>
        </w:rPr>
        <w:t>被申请人：</w:t>
      </w:r>
      <w:r>
        <w:rPr>
          <w:rFonts w:hint="eastAsia" w:ascii="仿宋_GB2312" w:hAnsi="仿宋" w:eastAsia="仿宋_GB2312" w:cs="仿宋"/>
          <w:sz w:val="32"/>
          <w:szCs w:val="32"/>
        </w:rPr>
        <w:t>通化县市场监督管理局</w:t>
      </w:r>
    </w:p>
    <w:p w14:paraId="30396527">
      <w:pPr>
        <w:spacing w:after="0" w:line="576" w:lineRule="exact"/>
        <w:ind w:firstLine="640" w:firstLineChars="200"/>
        <w:jc w:val="both"/>
        <w:rPr>
          <w:rFonts w:hint="eastAsia" w:ascii="仿宋_GB2312" w:hAnsi="仿宋" w:eastAsia="仿宋_GB2312" w:cs="仿宋"/>
          <w:sz w:val="32"/>
          <w:szCs w:val="32"/>
          <w:lang w:val="en-US" w:eastAsia="zh-CN"/>
        </w:rPr>
      </w:pPr>
      <w:bookmarkStart w:id="0" w:name="_GoBack"/>
      <w:bookmarkEnd w:id="0"/>
      <w:r>
        <w:rPr>
          <w:rFonts w:hint="eastAsia" w:ascii="仿宋_GB2312" w:hAnsi="仿宋" w:eastAsia="仿宋_GB2312" w:cs="仿宋"/>
          <w:sz w:val="32"/>
          <w:szCs w:val="32"/>
          <w:lang w:val="en-US" w:eastAsia="zh-CN"/>
        </w:rPr>
        <w:t>申请人不服通化县市场监督管理局对举报作出的不予立案处理决定。于2025年5月13日向通化县人民政府申请行政复议，本机关依法已予受理，现已审理终结。</w:t>
      </w:r>
    </w:p>
    <w:p w14:paraId="6C910FFF">
      <w:pPr>
        <w:spacing w:after="0" w:line="576" w:lineRule="exact"/>
        <w:ind w:firstLine="643" w:firstLineChars="200"/>
        <w:jc w:val="both"/>
        <w:rPr>
          <w:rFonts w:hint="default" w:ascii="仿宋_GB2312" w:hAnsi="仿宋" w:eastAsia="仿宋_GB2312" w:cs="仿宋"/>
          <w:sz w:val="32"/>
          <w:szCs w:val="32"/>
          <w:lang w:val="en-US" w:eastAsia="zh-CN"/>
        </w:rPr>
      </w:pPr>
      <w:r>
        <w:rPr>
          <w:rFonts w:hint="eastAsia" w:ascii="仿宋_GB2312" w:hAnsi="仿宋" w:eastAsia="仿宋_GB2312" w:cs="仿宋"/>
          <w:b/>
          <w:bCs/>
          <w:sz w:val="32"/>
          <w:szCs w:val="32"/>
        </w:rPr>
        <w:t>申请人请求：</w:t>
      </w:r>
      <w:r>
        <w:rPr>
          <w:rFonts w:hint="eastAsia" w:ascii="仿宋_GB2312" w:hAnsi="仿宋" w:eastAsia="仿宋_GB2312" w:cs="仿宋"/>
          <w:sz w:val="32"/>
          <w:szCs w:val="32"/>
          <w:lang w:val="en-US" w:eastAsia="zh-CN"/>
        </w:rPr>
        <w:t>1、撤销被申</w:t>
      </w:r>
      <w:r>
        <w:rPr>
          <w:rFonts w:hint="eastAsia" w:ascii="仿宋_GB2312" w:hAnsi="仿宋" w:eastAsia="仿宋_GB2312" w:cs="仿宋"/>
          <w:b w:val="0"/>
          <w:bCs w:val="0"/>
          <w:sz w:val="32"/>
          <w:szCs w:val="32"/>
          <w:lang w:eastAsia="zh-CN"/>
        </w:rPr>
        <w:t>请人</w:t>
      </w:r>
      <w:r>
        <w:rPr>
          <w:rFonts w:hint="eastAsia" w:ascii="仿宋_GB2312" w:hAnsi="仿宋" w:eastAsia="仿宋_GB2312" w:cs="仿宋"/>
          <w:sz w:val="32"/>
          <w:szCs w:val="32"/>
          <w:lang w:val="en-US" w:eastAsia="zh-CN"/>
        </w:rPr>
        <w:t>作出的不予立案处理决定；2、责令被申请人重新进行立案调查。</w:t>
      </w:r>
    </w:p>
    <w:p w14:paraId="01F74CDD">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firstLine="643" w:firstLineChars="200"/>
        <w:jc w:val="both"/>
        <w:textAlignment w:val="auto"/>
        <w:rPr>
          <w:rFonts w:hint="eastAsia" w:eastAsia="仿宋_GB2312"/>
          <w:b w:val="0"/>
          <w:bCs w:val="0"/>
          <w:color w:val="000000"/>
          <w:sz w:val="32"/>
          <w:szCs w:val="32"/>
          <w:lang w:val="en-US" w:eastAsia="zh-CN"/>
        </w:rPr>
      </w:pPr>
      <w:r>
        <w:rPr>
          <w:rFonts w:hint="eastAsia" w:ascii="Times New Roman" w:hAnsi="Times New Roman" w:eastAsia="仿宋_GB2312"/>
          <w:b/>
          <w:bCs/>
          <w:color w:val="000000"/>
          <w:sz w:val="32"/>
          <w:szCs w:val="32"/>
          <w:lang w:val="en-US" w:eastAsia="zh-CN"/>
        </w:rPr>
        <w:t>申请人称：</w:t>
      </w:r>
      <w:r>
        <w:rPr>
          <w:rFonts w:hint="eastAsia" w:eastAsia="仿宋_GB2312"/>
          <w:b w:val="0"/>
          <w:bCs w:val="0"/>
          <w:color w:val="000000"/>
          <w:sz w:val="32"/>
          <w:szCs w:val="32"/>
          <w:lang w:val="en-US" w:eastAsia="zh-CN"/>
        </w:rPr>
        <w:t>被申请人作出的不予立案处理认定事实不清，适用法律错误。主要理由是：</w:t>
      </w:r>
    </w:p>
    <w:p w14:paraId="7B26B7F9">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firstLine="640" w:firstLineChars="200"/>
        <w:jc w:val="both"/>
        <w:textAlignment w:val="auto"/>
        <w:rPr>
          <w:rFonts w:hint="eastAsia" w:eastAsia="仿宋_GB2312"/>
          <w:b w:val="0"/>
          <w:bCs w:val="0"/>
          <w:color w:val="000000"/>
          <w:sz w:val="32"/>
          <w:szCs w:val="32"/>
          <w:lang w:val="en-US" w:eastAsia="zh-CN"/>
        </w:rPr>
      </w:pPr>
      <w:r>
        <w:rPr>
          <w:rFonts w:hint="eastAsia" w:eastAsia="仿宋_GB2312"/>
          <w:b w:val="0"/>
          <w:bCs w:val="0"/>
          <w:color w:val="000000"/>
          <w:sz w:val="32"/>
          <w:szCs w:val="32"/>
          <w:lang w:val="en-US" w:eastAsia="zh-CN"/>
        </w:rPr>
        <w:t>一、商家的违法行为不属于违法轻微。</w:t>
      </w:r>
    </w:p>
    <w:p w14:paraId="37FB08C6">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firstLine="640"/>
        <w:jc w:val="both"/>
        <w:textAlignment w:val="auto"/>
        <w:rPr>
          <w:rFonts w:hint="eastAsia" w:eastAsia="仿宋_GB2312"/>
          <w:b w:val="0"/>
          <w:bCs w:val="0"/>
          <w:color w:val="000000"/>
          <w:sz w:val="32"/>
          <w:szCs w:val="32"/>
          <w:lang w:val="en-US" w:eastAsia="zh-CN"/>
        </w:rPr>
      </w:pPr>
      <w:r>
        <w:rPr>
          <w:rFonts w:hint="eastAsia" w:eastAsia="仿宋_GB2312"/>
          <w:b w:val="0"/>
          <w:bCs w:val="0"/>
          <w:color w:val="000000"/>
          <w:sz w:val="32"/>
          <w:szCs w:val="32"/>
          <w:lang w:val="en-US" w:eastAsia="zh-CN"/>
        </w:rPr>
        <w:t>二、被申请人适用法律错误。</w:t>
      </w:r>
    </w:p>
    <w:p w14:paraId="654B9E06">
      <w:pPr>
        <w:spacing w:after="0" w:line="576" w:lineRule="exact"/>
        <w:ind w:firstLine="643" w:firstLineChars="200"/>
        <w:jc w:val="both"/>
        <w:rPr>
          <w:rFonts w:hint="eastAsia" w:ascii="仿宋_GB2312" w:hAnsi="宋体" w:eastAsia="仿宋_GB2312"/>
          <w:sz w:val="32"/>
          <w:szCs w:val="32"/>
          <w:lang w:val="en-US" w:eastAsia="zh-CN"/>
        </w:rPr>
      </w:pPr>
      <w:r>
        <w:rPr>
          <w:rFonts w:hint="eastAsia" w:ascii="仿宋_GB2312" w:hAnsi="仿宋" w:eastAsia="仿宋_GB2312" w:cs="仿宋"/>
          <w:b/>
          <w:bCs/>
          <w:sz w:val="32"/>
          <w:szCs w:val="32"/>
          <w:lang w:val="en-US" w:eastAsia="zh-CN"/>
        </w:rPr>
        <w:t>被申请人答复称：</w:t>
      </w:r>
      <w:r>
        <w:rPr>
          <w:rFonts w:hint="eastAsia" w:ascii="仿宋_GB2312" w:hAnsi="宋体" w:eastAsia="仿宋_GB2312"/>
          <w:sz w:val="32"/>
          <w:szCs w:val="32"/>
          <w:lang w:val="en-US" w:eastAsia="zh-CN"/>
        </w:rPr>
        <w:t>被申请人对投诉举报</w:t>
      </w:r>
      <w:r>
        <w:rPr>
          <w:rFonts w:hint="eastAsia" w:ascii="仿宋_GB2312" w:hAnsi="宋体" w:eastAsia="仿宋_GB2312"/>
          <w:sz w:val="32"/>
          <w:szCs w:val="32"/>
        </w:rPr>
        <w:t>事项</w:t>
      </w:r>
      <w:r>
        <w:rPr>
          <w:rFonts w:hint="eastAsia" w:ascii="仿宋_GB2312" w:hAnsi="宋体" w:eastAsia="仿宋_GB2312"/>
          <w:sz w:val="32"/>
          <w:szCs w:val="32"/>
          <w:lang w:val="en-US" w:eastAsia="zh-CN"/>
        </w:rPr>
        <w:t>的</w:t>
      </w:r>
      <w:r>
        <w:rPr>
          <w:rFonts w:hint="eastAsia" w:ascii="仿宋_GB2312" w:hAnsi="宋体" w:eastAsia="仿宋_GB2312"/>
          <w:sz w:val="32"/>
          <w:szCs w:val="32"/>
        </w:rPr>
        <w:t>处理事实清楚、</w:t>
      </w:r>
      <w:r>
        <w:rPr>
          <w:rFonts w:hint="eastAsia" w:ascii="仿宋_GB2312" w:hAnsi="宋体" w:eastAsia="仿宋_GB2312"/>
          <w:sz w:val="32"/>
          <w:szCs w:val="32"/>
          <w:lang w:val="en-US" w:eastAsia="zh-CN"/>
        </w:rPr>
        <w:t>证据确凿、处理适当、程序合法</w:t>
      </w: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主要理由是：</w:t>
      </w:r>
    </w:p>
    <w:p w14:paraId="507BA2C4">
      <w:pPr>
        <w:numPr>
          <w:ilvl w:val="0"/>
          <w:numId w:val="0"/>
        </w:numPr>
        <w:spacing w:after="0" w:line="576" w:lineRule="exact"/>
        <w:ind w:firstLine="640" w:firstLineChars="200"/>
        <w:jc w:val="both"/>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一、被申请人对投诉进行了调解。</w:t>
      </w:r>
    </w:p>
    <w:p w14:paraId="002F0A74">
      <w:pPr>
        <w:numPr>
          <w:ilvl w:val="0"/>
          <w:numId w:val="0"/>
        </w:numPr>
        <w:spacing w:after="0" w:line="576" w:lineRule="exact"/>
        <w:jc w:val="both"/>
        <w:rPr>
          <w:rFonts w:hint="default" w:ascii="仿宋_GB2312" w:hAnsi="宋体" w:eastAsia="仿宋_GB2312"/>
          <w:sz w:val="32"/>
          <w:szCs w:val="32"/>
          <w:lang w:val="en-US" w:eastAsia="zh-CN"/>
        </w:rPr>
      </w:pPr>
      <w:r>
        <w:rPr>
          <w:rFonts w:hint="eastAsia" w:ascii="仿宋_GB2312" w:hAnsi="宋体" w:eastAsia="仿宋_GB2312"/>
          <w:sz w:val="32"/>
          <w:szCs w:val="32"/>
          <w:lang w:val="en-US" w:eastAsia="zh-CN"/>
        </w:rPr>
        <w:t xml:space="preserve">    二、被申请人作出不予立案处理决定并无不当。</w:t>
      </w:r>
    </w:p>
    <w:p w14:paraId="1525009D">
      <w:pPr>
        <w:spacing w:after="0" w:line="576" w:lineRule="exact"/>
        <w:ind w:firstLine="643" w:firstLineChars="200"/>
        <w:jc w:val="both"/>
        <w:rPr>
          <w:rFonts w:hint="eastAsia" w:ascii="仿宋_GB2312" w:hAnsi="仿宋" w:eastAsia="仿宋_GB2312" w:cs="仿宋"/>
          <w:b w:val="0"/>
          <w:bCs w:val="0"/>
          <w:sz w:val="32"/>
          <w:szCs w:val="32"/>
          <w:lang w:val="en-US" w:eastAsia="zh-CN"/>
        </w:rPr>
      </w:pPr>
      <w:r>
        <w:rPr>
          <w:rFonts w:hint="eastAsia" w:ascii="仿宋_GB2312" w:hAnsi="仿宋" w:eastAsia="仿宋_GB2312" w:cs="仿宋"/>
          <w:b/>
          <w:bCs/>
          <w:sz w:val="32"/>
          <w:szCs w:val="32"/>
          <w:lang w:val="en-US" w:eastAsia="zh-CN"/>
        </w:rPr>
        <w:t>经审理查明：</w:t>
      </w:r>
      <w:r>
        <w:rPr>
          <w:rFonts w:hint="eastAsia" w:ascii="仿宋_GB2312" w:hAnsi="仿宋" w:eastAsia="仿宋_GB2312" w:cs="仿宋"/>
          <w:b w:val="0"/>
          <w:bCs w:val="0"/>
          <w:sz w:val="32"/>
          <w:szCs w:val="32"/>
          <w:lang w:val="en-US" w:eastAsia="zh-CN"/>
        </w:rPr>
        <w:t>2025年3月26日，申请人通过外卖平台购买了案涉商品，收到后发现商品存在未标注不适宜人群及食用限量问题，于2025年4月1日，向被申请人邮寄信件进行投诉举报。被申请人收到信件后，对投诉举报分别进行处理。被申请人对双方进行调解，因案涉商家对申请人索要赔偿的诉求不予认可，被申请人作出终止调解决定并告知申请人。</w:t>
      </w:r>
      <w:r>
        <w:rPr>
          <w:rFonts w:hint="eastAsia" w:ascii="仿宋_GB2312" w:hAnsi="仿宋" w:eastAsia="仿宋_GB2312" w:cs="仿宋"/>
          <w:b w:val="0"/>
          <w:bCs w:val="0"/>
          <w:color w:val="auto"/>
          <w:sz w:val="32"/>
          <w:szCs w:val="32"/>
          <w:lang w:val="en-US" w:eastAsia="zh-CN"/>
        </w:rPr>
        <w:t>2025年4月11日，被</w:t>
      </w:r>
      <w:r>
        <w:rPr>
          <w:rFonts w:hint="eastAsia" w:ascii="仿宋_GB2312" w:hAnsi="仿宋" w:eastAsia="仿宋_GB2312" w:cs="仿宋"/>
          <w:b w:val="0"/>
          <w:bCs w:val="0"/>
          <w:color w:val="000000" w:themeColor="text1"/>
          <w:sz w:val="32"/>
          <w:szCs w:val="32"/>
          <w:lang w:val="en-US" w:eastAsia="zh-CN"/>
          <w14:textFill>
            <w14:solidFill>
              <w14:schemeClr w14:val="tx1"/>
            </w14:solidFill>
          </w14:textFill>
        </w:rPr>
        <w:t>申请人</w:t>
      </w:r>
      <w:r>
        <w:rPr>
          <w:rFonts w:hint="eastAsia" w:ascii="仿宋_GB2312" w:hAnsi="仿宋" w:eastAsia="仿宋_GB2312" w:cs="仿宋"/>
          <w:b w:val="0"/>
          <w:bCs w:val="0"/>
          <w:sz w:val="32"/>
          <w:szCs w:val="32"/>
          <w:lang w:val="en-US" w:eastAsia="zh-CN"/>
        </w:rPr>
        <w:t>认为案涉商家虽存在违法行为，但违法行为轻微，能够主动改正，</w:t>
      </w:r>
      <w:r>
        <w:rPr>
          <w:rFonts w:hint="eastAsia" w:ascii="仿宋_GB2312" w:hAnsi="宋体" w:eastAsia="仿宋_GB2312" w:cs="宋体"/>
          <w:sz w:val="32"/>
          <w:szCs w:val="32"/>
          <w:lang w:val="en-US" w:eastAsia="zh-CN"/>
        </w:rPr>
        <w:t>作出</w:t>
      </w:r>
      <w:r>
        <w:rPr>
          <w:rFonts w:hint="eastAsia" w:ascii="仿宋_GB2312" w:hAnsi="宋体" w:eastAsia="仿宋_GB2312" w:cs="宋体"/>
          <w:sz w:val="32"/>
          <w:szCs w:val="32"/>
        </w:rPr>
        <w:t>不予立案</w:t>
      </w:r>
      <w:r>
        <w:rPr>
          <w:rFonts w:hint="eastAsia" w:ascii="仿宋_GB2312" w:hAnsi="宋体" w:eastAsia="仿宋_GB2312" w:cs="宋体"/>
          <w:sz w:val="32"/>
          <w:szCs w:val="32"/>
          <w:lang w:val="en-US" w:eastAsia="zh-CN"/>
        </w:rPr>
        <w:t>决定并告知申请人。</w:t>
      </w:r>
      <w:r>
        <w:rPr>
          <w:rFonts w:hint="eastAsia" w:ascii="仿宋_GB2312" w:hAnsi="仿宋" w:eastAsia="仿宋_GB2312" w:cs="仿宋"/>
          <w:b w:val="0"/>
          <w:bCs w:val="0"/>
          <w:sz w:val="32"/>
          <w:szCs w:val="32"/>
          <w:lang w:val="en-US" w:eastAsia="zh-CN"/>
        </w:rPr>
        <w:t>2025年5月13日，申请人对投诉举报处理决定不服，向本机关提出行政复议申请。</w:t>
      </w:r>
    </w:p>
    <w:p w14:paraId="6A5EEFBC">
      <w:pPr>
        <w:spacing w:after="0" w:line="576" w:lineRule="exact"/>
        <w:ind w:firstLine="643" w:firstLineChars="200"/>
        <w:jc w:val="both"/>
        <w:rPr>
          <w:rFonts w:hint="eastAsia" w:ascii="仿宋_GB2312" w:hAnsi="仿宋" w:eastAsia="仿宋_GB2312" w:cs="仿宋"/>
          <w:sz w:val="32"/>
          <w:szCs w:val="32"/>
          <w:lang w:val="en-US" w:eastAsia="zh-CN"/>
        </w:rPr>
      </w:pPr>
      <w:r>
        <w:rPr>
          <w:rFonts w:hint="eastAsia" w:ascii="仿宋_GB2312" w:hAnsi="仿宋" w:eastAsia="仿宋_GB2312" w:cs="仿宋"/>
          <w:b/>
          <w:bCs/>
          <w:sz w:val="32"/>
          <w:szCs w:val="32"/>
          <w:lang w:val="en-US" w:eastAsia="zh-CN"/>
        </w:rPr>
        <w:t>本机关认为：</w:t>
      </w:r>
    </w:p>
    <w:p w14:paraId="5F3BBA9D">
      <w:pPr>
        <w:spacing w:line="576"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一、被申请人是负责核查处理本案</w:t>
      </w:r>
      <w:r>
        <w:rPr>
          <w:rFonts w:hint="eastAsia" w:ascii="仿宋_GB2312" w:hAnsi="仿宋" w:eastAsia="仿宋_GB2312" w:cs="仿宋"/>
          <w:sz w:val="32"/>
          <w:szCs w:val="32"/>
          <w:lang w:val="en-US" w:eastAsia="zh-CN"/>
        </w:rPr>
        <w:t>投诉举报</w:t>
      </w:r>
      <w:r>
        <w:rPr>
          <w:rFonts w:hint="eastAsia" w:ascii="仿宋_GB2312" w:hAnsi="仿宋" w:eastAsia="仿宋_GB2312" w:cs="仿宋"/>
          <w:sz w:val="32"/>
          <w:szCs w:val="32"/>
        </w:rPr>
        <w:t>事项的适格主体。</w:t>
      </w:r>
    </w:p>
    <w:p w14:paraId="1172FBCB">
      <w:pPr>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市场监督管理投诉举报处理暂行办法》第四条规定：“县级以上地方市场监督管理部门负责本行政区域内的投诉举报处理工作”。被申请人通化县市场监督管理局作为市场监督管理部门，对其辖区范围内的消费者</w:t>
      </w:r>
      <w:r>
        <w:rPr>
          <w:rFonts w:hint="eastAsia" w:ascii="仿宋_GB2312" w:hAnsi="仿宋" w:eastAsia="仿宋_GB2312" w:cs="仿宋"/>
          <w:sz w:val="32"/>
          <w:szCs w:val="32"/>
          <w:lang w:val="en-US" w:eastAsia="zh-CN"/>
        </w:rPr>
        <w:t>投诉举报事项</w:t>
      </w:r>
      <w:r>
        <w:rPr>
          <w:rFonts w:hint="eastAsia" w:ascii="仿宋_GB2312" w:hAnsi="仿宋" w:eastAsia="仿宋_GB2312" w:cs="仿宋"/>
          <w:sz w:val="32"/>
          <w:szCs w:val="32"/>
        </w:rPr>
        <w:t>具有处理职权。</w:t>
      </w:r>
    </w:p>
    <w:p w14:paraId="3C0EA804">
      <w:pPr>
        <w:numPr>
          <w:ilvl w:val="0"/>
          <w:numId w:val="0"/>
        </w:numPr>
        <w:spacing w:line="576" w:lineRule="exact"/>
        <w:ind w:firstLine="640" w:firstLineChars="200"/>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二、被申请人对投诉举报事项进行了处理，履行了法定职责。</w:t>
      </w:r>
    </w:p>
    <w:p w14:paraId="0F1886A5">
      <w:pPr>
        <w:numPr>
          <w:ilvl w:val="0"/>
          <w:numId w:val="0"/>
        </w:numPr>
        <w:spacing w:line="576" w:lineRule="exact"/>
        <w:ind w:firstLine="640" w:firstLineChars="200"/>
        <w:rPr>
          <w:rFonts w:hint="eastAsia" w:ascii="仿宋_GB2312" w:hAnsi="仿宋" w:eastAsia="仿宋_GB2312" w:cs="仿宋"/>
          <w:b w:val="0"/>
          <w:bCs w:val="0"/>
          <w:kern w:val="2"/>
          <w:sz w:val="32"/>
          <w:szCs w:val="32"/>
          <w:lang w:val="en-US" w:eastAsia="zh-CN" w:bidi="ar-SA"/>
        </w:rPr>
      </w:pPr>
      <w:r>
        <w:rPr>
          <w:rFonts w:hint="eastAsia" w:ascii="仿宋_GB2312" w:hAnsi="仿宋" w:eastAsia="仿宋_GB2312" w:cs="仿宋"/>
          <w:sz w:val="32"/>
          <w:szCs w:val="32"/>
        </w:rPr>
        <w:t>《市场监督管理行政处罚程序规定》第十八条规定：“市场监督管理部门对依据监督检查职权或者通过投诉、举报、其他部门移送、上级交办等途径发现的违法行为线索，应当自发现线索或者收到材料之日起十五个工作日内予以核查，由市场监督管理部门负责人决定是否立案；……”、《市场监督管理投诉举报处理暂行办法》第三十一条规定：“举报人实名举报的，有处理权限的市场监督管理部门还应当自作出是否立案决定之日起五个工作日内告知举报人”。根据上述规定，被申请人</w:t>
      </w:r>
      <w:r>
        <w:rPr>
          <w:rFonts w:hint="eastAsia" w:ascii="仿宋_GB2312" w:hAnsi="仿宋" w:eastAsia="仿宋_GB2312" w:cs="仿宋"/>
          <w:sz w:val="32"/>
          <w:szCs w:val="32"/>
          <w:lang w:val="en-US" w:eastAsia="zh-CN"/>
        </w:rPr>
        <w:t>对投诉举报进行了受理</w:t>
      </w:r>
      <w:r>
        <w:rPr>
          <w:rFonts w:hint="eastAsia" w:ascii="仿宋_GB2312" w:hAnsi="仿宋" w:eastAsia="仿宋_GB2312" w:cs="仿宋"/>
          <w:sz w:val="32"/>
          <w:szCs w:val="32"/>
        </w:rPr>
        <w:t>，</w:t>
      </w:r>
      <w:r>
        <w:rPr>
          <w:rFonts w:hint="eastAsia" w:ascii="仿宋_GB2312" w:hAnsi="仿宋" w:eastAsia="仿宋_GB2312" w:cs="仿宋"/>
          <w:sz w:val="32"/>
          <w:szCs w:val="32"/>
          <w:lang w:val="en-US" w:eastAsia="zh-CN"/>
        </w:rPr>
        <w:t>对投诉进行了调解</w:t>
      </w:r>
      <w:r>
        <w:rPr>
          <w:rFonts w:hint="eastAsia" w:ascii="仿宋_GB2312" w:hAnsi="仿宋" w:eastAsia="仿宋_GB2312" w:cs="仿宋"/>
          <w:sz w:val="32"/>
          <w:szCs w:val="32"/>
        </w:rPr>
        <w:t>，</w:t>
      </w:r>
      <w:r>
        <w:rPr>
          <w:rFonts w:hint="eastAsia" w:ascii="仿宋_GB2312" w:hAnsi="仿宋" w:eastAsia="仿宋_GB2312" w:cs="仿宋"/>
          <w:sz w:val="32"/>
          <w:szCs w:val="32"/>
          <w:lang w:val="en-US" w:eastAsia="zh-CN"/>
        </w:rPr>
        <w:t>对举报作出不予立案处理决定，并将不予立案情况告知申请人，</w:t>
      </w:r>
      <w:r>
        <w:rPr>
          <w:rFonts w:hint="eastAsia" w:ascii="仿宋_GB2312" w:hAnsi="仿宋" w:eastAsia="仿宋_GB2312" w:cs="仿宋"/>
          <w:sz w:val="32"/>
          <w:szCs w:val="32"/>
        </w:rPr>
        <w:t>因此被申请人履行了法定职责，</w:t>
      </w:r>
      <w:r>
        <w:rPr>
          <w:rFonts w:hint="eastAsia" w:ascii="仿宋_GB2312" w:hAnsi="仿宋" w:eastAsia="仿宋_GB2312" w:cs="仿宋"/>
          <w:sz w:val="32"/>
          <w:szCs w:val="32"/>
          <w:lang w:val="en-US" w:eastAsia="zh-CN"/>
        </w:rPr>
        <w:t>程序合法。</w:t>
      </w:r>
    </w:p>
    <w:p w14:paraId="0D105698">
      <w:pPr>
        <w:spacing w:after="0" w:line="576" w:lineRule="exact"/>
        <w:ind w:firstLine="640" w:firstLineChars="200"/>
        <w:jc w:val="both"/>
        <w:rPr>
          <w:rFonts w:hint="default"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三、被申请人作出的</w:t>
      </w:r>
      <w:r>
        <w:rPr>
          <w:rFonts w:hint="eastAsia" w:eastAsia="仿宋_GB2312" w:cs="Times New Roman"/>
          <w:b w:val="0"/>
          <w:bCs w:val="0"/>
          <w:color w:val="000000"/>
          <w:sz w:val="32"/>
          <w:szCs w:val="32"/>
          <w:lang w:val="en-US" w:eastAsia="zh-CN"/>
        </w:rPr>
        <w:t>不予立案处理</w:t>
      </w:r>
      <w:r>
        <w:rPr>
          <w:rFonts w:hint="eastAsia" w:ascii="Times New Roman" w:hAnsi="Times New Roman" w:eastAsia="仿宋_GB2312" w:cs="Times New Roman"/>
          <w:b w:val="0"/>
          <w:bCs w:val="0"/>
          <w:color w:val="000000"/>
          <w:sz w:val="32"/>
          <w:szCs w:val="32"/>
          <w:lang w:val="en-US" w:eastAsia="zh-CN"/>
        </w:rPr>
        <w:t>决定事实清楚、适用法律依据正确。</w:t>
      </w:r>
    </w:p>
    <w:p w14:paraId="2E46083E">
      <w:pPr>
        <w:spacing w:after="0" w:line="576" w:lineRule="exact"/>
        <w:ind w:firstLine="640" w:firstLineChars="200"/>
        <w:jc w:val="both"/>
        <w:rPr>
          <w:rFonts w:hint="eastAsia"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本案中，</w:t>
      </w:r>
      <w:r>
        <w:rPr>
          <w:rFonts w:hint="eastAsia" w:eastAsia="仿宋_GB2312" w:cs="Times New Roman"/>
          <w:b w:val="0"/>
          <w:bCs w:val="0"/>
          <w:color w:val="000000"/>
          <w:sz w:val="32"/>
          <w:szCs w:val="32"/>
          <w:lang w:val="en-US" w:eastAsia="zh-CN"/>
        </w:rPr>
        <w:t>被申请人在调查过程中，发现案涉商家确实存在违法行为，向商家下达了《责令改正通知书》。</w:t>
      </w:r>
      <w:r>
        <w:rPr>
          <w:rFonts w:hint="eastAsia" w:ascii="仿宋_GB2312" w:hAnsi="仿宋" w:eastAsia="仿宋_GB2312" w:cs="仿宋"/>
          <w:b w:val="0"/>
          <w:bCs w:val="0"/>
          <w:sz w:val="32"/>
          <w:szCs w:val="32"/>
          <w:lang w:val="en-US" w:eastAsia="zh-CN"/>
        </w:rPr>
        <w:t>案涉</w:t>
      </w:r>
      <w:r>
        <w:rPr>
          <w:rFonts w:hint="eastAsia" w:eastAsia="仿宋_GB2312" w:cs="Times New Roman"/>
          <w:b w:val="0"/>
          <w:bCs w:val="0"/>
          <w:color w:val="000000"/>
          <w:sz w:val="32"/>
          <w:szCs w:val="32"/>
          <w:lang w:val="en-US" w:eastAsia="zh-CN"/>
        </w:rPr>
        <w:t>商家已在被申请人调查前将商品进行下架处理，且</w:t>
      </w:r>
      <w:r>
        <w:rPr>
          <w:rFonts w:hint="eastAsia" w:ascii="仿宋_GB2312" w:hAnsi="仿宋" w:eastAsia="仿宋_GB2312" w:cs="仿宋"/>
          <w:b w:val="0"/>
          <w:bCs w:val="0"/>
          <w:sz w:val="32"/>
          <w:szCs w:val="32"/>
          <w:lang w:val="en-US" w:eastAsia="zh-CN"/>
        </w:rPr>
        <w:t>商品仅销售1单，未造成危害后果，违法行为轻微。</w:t>
      </w:r>
      <w:r>
        <w:rPr>
          <w:rFonts w:hint="eastAsia" w:eastAsia="仿宋_GB2312" w:cs="Times New Roman"/>
          <w:b w:val="0"/>
          <w:bCs w:val="0"/>
          <w:color w:val="000000"/>
          <w:sz w:val="32"/>
          <w:szCs w:val="32"/>
          <w:lang w:val="en-US" w:eastAsia="zh-CN"/>
        </w:rPr>
        <w:t>被申请人根据</w:t>
      </w:r>
      <w:r>
        <w:rPr>
          <w:rFonts w:hint="eastAsia" w:ascii="Times New Roman" w:hAnsi="Times New Roman" w:eastAsia="仿宋_GB2312" w:cs="Times New Roman"/>
          <w:b w:val="0"/>
          <w:bCs w:val="0"/>
          <w:color w:val="000000"/>
          <w:sz w:val="32"/>
          <w:szCs w:val="32"/>
          <w:lang w:val="en-US" w:eastAsia="zh-CN"/>
        </w:rPr>
        <w:t>《市场监督管理行政处罚程序规定》</w:t>
      </w:r>
      <w:r>
        <w:rPr>
          <w:rFonts w:hint="eastAsia" w:eastAsia="仿宋_GB2312" w:cs="Times New Roman"/>
          <w:b w:val="0"/>
          <w:bCs w:val="0"/>
          <w:color w:val="000000"/>
          <w:sz w:val="32"/>
          <w:szCs w:val="32"/>
          <w:lang w:val="en-US" w:eastAsia="zh-CN"/>
        </w:rPr>
        <w:t>第二十条第一款第（一）项的规定，作出不予立案处理决定并无不当。</w:t>
      </w:r>
    </w:p>
    <w:p w14:paraId="70CE1D8E">
      <w:pPr>
        <w:spacing w:after="0" w:line="576" w:lineRule="exact"/>
        <w:ind w:firstLine="640" w:firstLineChars="200"/>
        <w:jc w:val="both"/>
        <w:rPr>
          <w:rFonts w:hint="eastAsia" w:ascii="仿宋_GB2312" w:hAnsi="仿宋" w:eastAsia="仿宋_GB2312" w:cs="仿宋"/>
          <w:sz w:val="32"/>
          <w:szCs w:val="32"/>
          <w:lang w:val="en-US" w:eastAsia="zh-CN"/>
        </w:rPr>
      </w:pPr>
      <w:r>
        <w:rPr>
          <w:rFonts w:hint="eastAsia" w:ascii="Times New Roman" w:hAnsi="Times New Roman" w:eastAsia="仿宋_GB2312" w:cs="Times New Roman"/>
          <w:b w:val="0"/>
          <w:bCs w:val="0"/>
          <w:color w:val="000000"/>
          <w:sz w:val="32"/>
          <w:szCs w:val="32"/>
          <w:lang w:val="en-US" w:eastAsia="zh-CN"/>
        </w:rPr>
        <w:t>综上，根据《中华人民共和国行政复议法》第六十八条</w:t>
      </w:r>
      <w:r>
        <w:rPr>
          <w:rFonts w:hint="eastAsia" w:ascii="仿宋_GB2312" w:hAnsi="仿宋" w:eastAsia="仿宋_GB2312" w:cs="仿宋"/>
          <w:sz w:val="32"/>
          <w:szCs w:val="32"/>
          <w:lang w:val="en-US" w:eastAsia="zh-CN"/>
        </w:rPr>
        <w:t>之规定，本机关决定如下：</w:t>
      </w:r>
    </w:p>
    <w:p w14:paraId="04D55CA3">
      <w:pPr>
        <w:spacing w:after="0" w:line="576" w:lineRule="exact"/>
        <w:ind w:firstLine="640" w:firstLineChars="200"/>
        <w:jc w:val="both"/>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维持被申请人对举报作出的不予立案处理决定。</w:t>
      </w:r>
    </w:p>
    <w:p w14:paraId="70CDEE10">
      <w:pPr>
        <w:spacing w:after="0" w:line="576" w:lineRule="exact"/>
        <w:ind w:firstLine="640" w:firstLineChars="200"/>
        <w:jc w:val="both"/>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申请人如不服本行政复议决定，可在接到本决定书之日起15日内，向人民法院提起行政诉讼。</w:t>
      </w:r>
    </w:p>
    <w:p w14:paraId="0C8129E6">
      <w:pPr>
        <w:spacing w:after="0" w:line="576" w:lineRule="exact"/>
        <w:ind w:firstLine="640" w:firstLineChars="200"/>
        <w:jc w:val="both"/>
        <w:rPr>
          <w:rFonts w:hint="eastAsia" w:ascii="仿宋_GB2312" w:hAnsi="仿宋" w:eastAsia="仿宋_GB2312" w:cs="仿宋"/>
          <w:sz w:val="32"/>
          <w:szCs w:val="32"/>
          <w:lang w:val="en-US" w:eastAsia="zh-CN"/>
        </w:rPr>
      </w:pPr>
    </w:p>
    <w:p w14:paraId="1C5B1FFE">
      <w:pPr>
        <w:spacing w:after="0" w:line="576" w:lineRule="exact"/>
        <w:ind w:firstLine="640" w:firstLineChars="200"/>
        <w:jc w:val="both"/>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 xml:space="preserve">                             通化县人民政府</w:t>
      </w:r>
    </w:p>
    <w:p w14:paraId="7C6FB10A">
      <w:pPr>
        <w:spacing w:after="0" w:line="576" w:lineRule="exact"/>
        <w:ind w:firstLine="640" w:firstLineChars="200"/>
        <w:jc w:val="both"/>
        <w:rPr>
          <w:rFonts w:hint="eastAsia" w:ascii="仿宋" w:hAnsi="仿宋" w:eastAsia="仿宋" w:cs="仿宋"/>
          <w:color w:val="auto"/>
          <w:sz w:val="32"/>
          <w:szCs w:val="32"/>
          <w:highlight w:val="none"/>
          <w:lang w:val="en-US" w:eastAsia="zh-CN"/>
        </w:rPr>
      </w:pPr>
      <w:r>
        <w:rPr>
          <w:rFonts w:hint="eastAsia" w:ascii="Times New Roman" w:hAnsi="Times New Roman" w:eastAsia="仿宋_GB2312" w:cs="Times New Roman"/>
          <w:b w:val="0"/>
          <w:bCs w:val="0"/>
          <w:color w:val="000000"/>
          <w:sz w:val="32"/>
          <w:szCs w:val="32"/>
          <w:lang w:val="en-US" w:eastAsia="zh-CN"/>
        </w:rPr>
        <w:t xml:space="preserve">                      </w:t>
      </w:r>
      <w:r>
        <w:rPr>
          <w:rFonts w:hint="eastAsia" w:eastAsia="仿宋_GB2312" w:cs="Times New Roman"/>
          <w:b w:val="0"/>
          <w:bCs w:val="0"/>
          <w:color w:val="000000"/>
          <w:sz w:val="32"/>
          <w:szCs w:val="32"/>
          <w:lang w:val="en-US" w:eastAsia="zh-CN"/>
        </w:rPr>
        <w:t xml:space="preserve">   </w:t>
      </w:r>
      <w:r>
        <w:rPr>
          <w:rFonts w:hint="eastAsia" w:ascii="Times New Roman" w:hAnsi="Times New Roman" w:eastAsia="仿宋_GB2312" w:cs="Times New Roman"/>
          <w:b w:val="0"/>
          <w:bCs w:val="0"/>
          <w:color w:val="000000"/>
          <w:sz w:val="32"/>
          <w:szCs w:val="32"/>
          <w:lang w:val="en-US" w:eastAsia="zh-CN"/>
        </w:rPr>
        <w:t>二〇二</w:t>
      </w:r>
      <w:r>
        <w:rPr>
          <w:rFonts w:hint="eastAsia" w:eastAsia="仿宋_GB2312" w:cs="Times New Roman"/>
          <w:b w:val="0"/>
          <w:bCs w:val="0"/>
          <w:color w:val="000000"/>
          <w:sz w:val="32"/>
          <w:szCs w:val="32"/>
          <w:lang w:val="en-US" w:eastAsia="zh-CN"/>
        </w:rPr>
        <w:t>五</w:t>
      </w:r>
      <w:r>
        <w:rPr>
          <w:rFonts w:hint="eastAsia" w:ascii="Times New Roman" w:hAnsi="Times New Roman" w:eastAsia="仿宋_GB2312" w:cs="Times New Roman"/>
          <w:b w:val="0"/>
          <w:bCs w:val="0"/>
          <w:color w:val="000000"/>
          <w:sz w:val="32"/>
          <w:szCs w:val="32"/>
          <w:lang w:val="en-US" w:eastAsia="zh-CN"/>
        </w:rPr>
        <w:t>年</w:t>
      </w:r>
      <w:r>
        <w:rPr>
          <w:rFonts w:hint="eastAsia" w:eastAsia="仿宋_GB2312" w:cs="Times New Roman"/>
          <w:b w:val="0"/>
          <w:bCs w:val="0"/>
          <w:color w:val="000000"/>
          <w:sz w:val="32"/>
          <w:szCs w:val="32"/>
          <w:lang w:val="en-US" w:eastAsia="zh-CN"/>
        </w:rPr>
        <w:t>七</w:t>
      </w:r>
      <w:r>
        <w:rPr>
          <w:rFonts w:hint="eastAsia" w:ascii="Times New Roman" w:hAnsi="Times New Roman" w:eastAsia="仿宋_GB2312" w:cs="Times New Roman"/>
          <w:b w:val="0"/>
          <w:bCs w:val="0"/>
          <w:color w:val="000000"/>
          <w:sz w:val="32"/>
          <w:szCs w:val="32"/>
          <w:lang w:val="en-US" w:eastAsia="zh-CN"/>
        </w:rPr>
        <w:t>月</w:t>
      </w:r>
      <w:r>
        <w:rPr>
          <w:rFonts w:hint="eastAsia" w:eastAsia="仿宋_GB2312" w:cs="Times New Roman"/>
          <w:b w:val="0"/>
          <w:bCs w:val="0"/>
          <w:color w:val="000000"/>
          <w:sz w:val="32"/>
          <w:szCs w:val="32"/>
          <w:lang w:val="en-US" w:eastAsia="zh-CN"/>
        </w:rPr>
        <w:t>二十一</w:t>
      </w:r>
      <w:r>
        <w:rPr>
          <w:rFonts w:hint="eastAsia" w:ascii="Times New Roman" w:hAnsi="Times New Roman" w:eastAsia="仿宋_GB2312" w:cs="Times New Roman"/>
          <w:b w:val="0"/>
          <w:bCs w:val="0"/>
          <w:color w:val="000000"/>
          <w:sz w:val="32"/>
          <w:szCs w:val="32"/>
          <w:lang w:val="en-US" w:eastAsia="zh-CN"/>
        </w:rPr>
        <w:t>日</w:t>
      </w:r>
    </w:p>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CD8E7">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6E99F3">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36E99F3">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B0C89">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yMmIwMWRkOGYxZTZhMTI2OWVmYzZlODY1OTM0YzEifQ=="/>
  </w:docVars>
  <w:rsids>
    <w:rsidRoot w:val="7E155635"/>
    <w:rsid w:val="0199609C"/>
    <w:rsid w:val="02582D76"/>
    <w:rsid w:val="02E33476"/>
    <w:rsid w:val="04606361"/>
    <w:rsid w:val="04BE40E0"/>
    <w:rsid w:val="05013ED4"/>
    <w:rsid w:val="057E4E8F"/>
    <w:rsid w:val="078E78DC"/>
    <w:rsid w:val="082E0467"/>
    <w:rsid w:val="087C4131"/>
    <w:rsid w:val="08C734CC"/>
    <w:rsid w:val="0B704FAD"/>
    <w:rsid w:val="0BA6680D"/>
    <w:rsid w:val="10960B84"/>
    <w:rsid w:val="11356B95"/>
    <w:rsid w:val="11AB751A"/>
    <w:rsid w:val="13DC42B1"/>
    <w:rsid w:val="148A41EB"/>
    <w:rsid w:val="165C118C"/>
    <w:rsid w:val="16741E3E"/>
    <w:rsid w:val="191B346D"/>
    <w:rsid w:val="19856C4C"/>
    <w:rsid w:val="1BE33562"/>
    <w:rsid w:val="1C3E1D3E"/>
    <w:rsid w:val="1D033515"/>
    <w:rsid w:val="1E020B4D"/>
    <w:rsid w:val="246F477F"/>
    <w:rsid w:val="25B0733F"/>
    <w:rsid w:val="27E5099D"/>
    <w:rsid w:val="280834D9"/>
    <w:rsid w:val="2ACA16CC"/>
    <w:rsid w:val="2C076A40"/>
    <w:rsid w:val="30225346"/>
    <w:rsid w:val="31263C8E"/>
    <w:rsid w:val="316E64EE"/>
    <w:rsid w:val="326D31C6"/>
    <w:rsid w:val="337A02B8"/>
    <w:rsid w:val="345D21D3"/>
    <w:rsid w:val="35ED10D9"/>
    <w:rsid w:val="362905E6"/>
    <w:rsid w:val="37261FA2"/>
    <w:rsid w:val="372919DB"/>
    <w:rsid w:val="382877F5"/>
    <w:rsid w:val="3A525087"/>
    <w:rsid w:val="3AA71671"/>
    <w:rsid w:val="3CB274A9"/>
    <w:rsid w:val="3EC04AEE"/>
    <w:rsid w:val="4241546E"/>
    <w:rsid w:val="424C5BA2"/>
    <w:rsid w:val="42A617C8"/>
    <w:rsid w:val="45395141"/>
    <w:rsid w:val="45D8101C"/>
    <w:rsid w:val="490F6BB6"/>
    <w:rsid w:val="4A4D73EF"/>
    <w:rsid w:val="4BB1158A"/>
    <w:rsid w:val="4CDD5875"/>
    <w:rsid w:val="528B0930"/>
    <w:rsid w:val="52E64215"/>
    <w:rsid w:val="53C52BAA"/>
    <w:rsid w:val="54625760"/>
    <w:rsid w:val="5472265E"/>
    <w:rsid w:val="56B33D02"/>
    <w:rsid w:val="58C53C0D"/>
    <w:rsid w:val="591E2AC0"/>
    <w:rsid w:val="598F29D8"/>
    <w:rsid w:val="59C962F5"/>
    <w:rsid w:val="5ADA04CE"/>
    <w:rsid w:val="5C0F6FB7"/>
    <w:rsid w:val="5CC60AEB"/>
    <w:rsid w:val="5D0B148F"/>
    <w:rsid w:val="5DA853E8"/>
    <w:rsid w:val="5DEC7A21"/>
    <w:rsid w:val="5F6B2D1C"/>
    <w:rsid w:val="5F930B54"/>
    <w:rsid w:val="60281F46"/>
    <w:rsid w:val="609A39B4"/>
    <w:rsid w:val="611B233B"/>
    <w:rsid w:val="63040BF8"/>
    <w:rsid w:val="63C60FC0"/>
    <w:rsid w:val="63FA7FB6"/>
    <w:rsid w:val="64093C6C"/>
    <w:rsid w:val="65622202"/>
    <w:rsid w:val="657923AC"/>
    <w:rsid w:val="6888136E"/>
    <w:rsid w:val="69510DCD"/>
    <w:rsid w:val="6C5A2D68"/>
    <w:rsid w:val="6D62665F"/>
    <w:rsid w:val="6F7A2F96"/>
    <w:rsid w:val="7670382E"/>
    <w:rsid w:val="774C4FD9"/>
    <w:rsid w:val="775D5288"/>
    <w:rsid w:val="78601DC4"/>
    <w:rsid w:val="7CB935DA"/>
    <w:rsid w:val="7D1C3307"/>
    <w:rsid w:val="7DB32B2D"/>
    <w:rsid w:val="7E155635"/>
    <w:rsid w:val="7E5E0844"/>
    <w:rsid w:val="7F8147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5"/>
    <w:basedOn w:val="1"/>
    <w:next w:val="1"/>
    <w:autoRedefine/>
    <w:qFormat/>
    <w:uiPriority w:val="0"/>
    <w:pPr>
      <w:keepNext/>
      <w:keepLines/>
      <w:spacing w:before="280" w:after="290" w:line="374" w:lineRule="auto"/>
      <w:outlineLvl w:val="4"/>
    </w:pPr>
    <w:rPr>
      <w:b/>
      <w:bCs/>
      <w:sz w:val="28"/>
      <w:szCs w:val="28"/>
    </w:rPr>
  </w:style>
  <w:style w:type="character" w:default="1" w:styleId="9">
    <w:name w:val="Default Paragraph Font"/>
    <w:autoRedefine/>
    <w:semiHidden/>
    <w:qFormat/>
    <w:uiPriority w:val="0"/>
  </w:style>
  <w:style w:type="table" w:default="1" w:styleId="8">
    <w:name w:val="Normal Table"/>
    <w:autoRedefin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Plain Text"/>
    <w:basedOn w:val="1"/>
    <w:autoRedefine/>
    <w:qFormat/>
    <w:uiPriority w:val="0"/>
    <w:rPr>
      <w:rFonts w:ascii="宋体" w:hAnsi="Courier New" w:cs="Courier New"/>
      <w:szCs w:val="21"/>
    </w:rPr>
  </w:style>
  <w:style w:type="paragraph" w:styleId="5">
    <w:name w:val="footer"/>
    <w:basedOn w:val="1"/>
    <w:autoRedefine/>
    <w:qFormat/>
    <w:uiPriority w:val="99"/>
    <w:pPr>
      <w:tabs>
        <w:tab w:val="center" w:pos="4153"/>
        <w:tab w:val="right" w:pos="8306"/>
      </w:tabs>
    </w:pPr>
    <w:rPr>
      <w:sz w:val="18"/>
      <w:szCs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autoRedefine/>
    <w:semiHidden/>
    <w:unhideWhenUsed/>
    <w:qFormat/>
    <w:uiPriority w:val="99"/>
    <w:pPr>
      <w:adjustRightInd/>
      <w:snapToGrid/>
      <w:spacing w:before="100" w:beforeAutospacing="1" w:after="100" w:afterAutospacing="1"/>
    </w:pPr>
    <w:rPr>
      <w:rFonts w:ascii="宋体" w:hAnsi="宋体" w:eastAsia="宋体" w:cs="宋体"/>
      <w:sz w:val="24"/>
      <w:szCs w:val="24"/>
    </w:rPr>
  </w:style>
  <w:style w:type="character" w:styleId="10">
    <w:name w:val="Strong"/>
    <w:qFormat/>
    <w:uiPriority w:val="22"/>
    <w:rPr>
      <w:b/>
      <w:bCs/>
    </w:rPr>
  </w:style>
  <w:style w:type="character" w:customStyle="1" w:styleId="11">
    <w:name w:val="wx_text_underline"/>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1357</Words>
  <Characters>1406</Characters>
  <Lines>0</Lines>
  <Paragraphs>0</Paragraphs>
  <TotalTime>22</TotalTime>
  <ScaleCrop>false</ScaleCrop>
  <LinksUpToDate>false</LinksUpToDate>
  <CharactersWithSpaces>1481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2024-01-05T02:36:00Z</dcterms:created>
  <dc:creator>miss</dc:creator>
  <cp:lastModifiedBy>miss</cp:lastModifiedBy>
  <cp:lastPrinted>2025-07-21T01:25:00Z</cp:lastPrinted>
  <dcterms:modified xsi:type="dcterms:W3CDTF">2026-03-05T01:19:38Z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0A1BCDEBE8CA465686E89C52492A30A3_11</vt:lpwstr>
  </property>
  <property fmtid="{D5CDD505-2E9C-101B-9397-08002B2CF9AE}" pid="4" name="KSOTemplateDocerSaveRecord">
    <vt:lpwstr>eyJoZGlkIjoiNzgyMmIwMWRkOGYxZTZhMTI2OWVmYzZlODY1OTM0YzEiLCJ1c2VySWQiOiI4ODUyODAxNzcifQ==</vt:lpwstr>
  </property>
</Properties>
</file>